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1F30F" w14:textId="77777777" w:rsidR="00957387" w:rsidRPr="00957387" w:rsidRDefault="00957387" w:rsidP="00957387">
      <w:pPr>
        <w:keepNext/>
        <w:widowControl w:val="0"/>
        <w:suppressAutoHyphens/>
        <w:autoSpaceDE w:val="0"/>
        <w:autoSpaceDN w:val="0"/>
        <w:adjustRightInd w:val="0"/>
        <w:spacing w:after="0" w:line="240" w:lineRule="auto"/>
        <w:ind w:right="-23"/>
        <w:jc w:val="right"/>
        <w:outlineLvl w:val="0"/>
        <w:rPr>
          <w:rFonts w:eastAsia="Times New Roman" w:cs="Calibri"/>
          <w:b/>
          <w:color w:val="000000"/>
          <w:kern w:val="1"/>
          <w:lang w:eastAsia="zh-CN" w:bidi="hi-IN"/>
        </w:rPr>
      </w:pPr>
      <w:r w:rsidRPr="00957387">
        <w:rPr>
          <w:rFonts w:eastAsia="Times New Roman" w:cs="Calibri"/>
          <w:b/>
          <w:color w:val="000000"/>
          <w:kern w:val="1"/>
          <w:lang w:eastAsia="zh-CN" w:bidi="hi-IN"/>
        </w:rPr>
        <w:t>Spett.le</w:t>
      </w:r>
    </w:p>
    <w:p w14:paraId="7E919D99"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bookmarkStart w:id="0" w:name="_GoBack"/>
      <w:bookmarkEnd w:id="0"/>
      <w:r w:rsidRPr="000A6A94">
        <w:rPr>
          <w:rFonts w:ascii="Garamond" w:hAnsi="Garamond"/>
        </w:rPr>
        <w:t>Pinacoteca di Brera</w:t>
      </w:r>
    </w:p>
    <w:p w14:paraId="3357FEA7"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r w:rsidRPr="000A6A94">
        <w:rPr>
          <w:rFonts w:ascii="Garamond" w:hAnsi="Garamond"/>
        </w:rPr>
        <w:t xml:space="preserve">Via Brera, 28 </w:t>
      </w:r>
    </w:p>
    <w:p w14:paraId="51D1211D" w14:textId="77777777" w:rsidR="000A6A94" w:rsidRPr="000A6A94" w:rsidRDefault="000A6A94" w:rsidP="000A6A94">
      <w:pPr>
        <w:keepNext/>
        <w:widowControl w:val="0"/>
        <w:suppressAutoHyphens/>
        <w:autoSpaceDE w:val="0"/>
        <w:autoSpaceDN w:val="0"/>
        <w:adjustRightInd w:val="0"/>
        <w:spacing w:after="0" w:line="240" w:lineRule="auto"/>
        <w:ind w:right="-23"/>
        <w:jc w:val="right"/>
        <w:outlineLvl w:val="0"/>
        <w:rPr>
          <w:rFonts w:ascii="Garamond" w:hAnsi="Garamond"/>
        </w:rPr>
      </w:pPr>
      <w:r w:rsidRPr="000A6A94">
        <w:rPr>
          <w:rFonts w:ascii="Garamond" w:hAnsi="Garamond"/>
        </w:rPr>
        <w:t>20121 Milano</w:t>
      </w:r>
    </w:p>
    <w:p w14:paraId="11D0BBA1" w14:textId="1B1955C1" w:rsidR="008563A5" w:rsidRDefault="000A6A94" w:rsidP="000A6A94">
      <w:pPr>
        <w:jc w:val="right"/>
        <w:rPr>
          <w:rFonts w:cs="Calibri"/>
          <w:b/>
        </w:rPr>
      </w:pPr>
      <w:r w:rsidRPr="00D13066">
        <w:rPr>
          <w:rFonts w:ascii="Garamond" w:hAnsi="Garamond"/>
        </w:rPr>
        <w:t xml:space="preserve">PEC: </w:t>
      </w:r>
      <w:r w:rsidR="00D13066" w:rsidRPr="00D13066">
        <w:rPr>
          <w:rFonts w:ascii="Garamond" w:hAnsi="Garamond"/>
        </w:rPr>
        <w:t>pin-br@pec.cultura.gov.it</w:t>
      </w:r>
    </w:p>
    <w:p w14:paraId="41D7F308" w14:textId="77777777" w:rsidR="000A6A94" w:rsidRDefault="000A6A94" w:rsidP="004D12EC">
      <w:pPr>
        <w:pStyle w:val="Nessunaspaziatura"/>
        <w:jc w:val="both"/>
        <w:rPr>
          <w:b/>
          <w:bCs/>
        </w:rPr>
      </w:pPr>
    </w:p>
    <w:p w14:paraId="77D3EA4C" w14:textId="77777777" w:rsidR="00743E3D" w:rsidRDefault="00743E3D" w:rsidP="0064181A">
      <w:pPr>
        <w:jc w:val="both"/>
        <w:rPr>
          <w:rFonts w:cs="Calibri"/>
          <w:b/>
          <w:iCs/>
        </w:rPr>
      </w:pPr>
    </w:p>
    <w:p w14:paraId="17D05E06" w14:textId="10497296" w:rsidR="00915900" w:rsidRDefault="00915900" w:rsidP="0064181A">
      <w:pPr>
        <w:jc w:val="both"/>
        <w:rPr>
          <w:rFonts w:cs="Calibri"/>
          <w:b/>
          <w:iCs/>
        </w:rPr>
      </w:pPr>
      <w:r w:rsidRPr="00915900">
        <w:rPr>
          <w:rFonts w:cs="Calibri"/>
          <w:b/>
          <w:iCs/>
        </w:rPr>
        <w:t xml:space="preserve">DICHIARAZIONE </w:t>
      </w:r>
      <w:r w:rsidR="00A7481A">
        <w:rPr>
          <w:rFonts w:cs="Calibri"/>
          <w:b/>
          <w:iCs/>
        </w:rPr>
        <w:t xml:space="preserve">(resa </w:t>
      </w:r>
      <w:r w:rsidR="00A7481A" w:rsidRPr="00915900">
        <w:rPr>
          <w:rFonts w:cs="Calibri"/>
          <w:b/>
          <w:iCs/>
        </w:rPr>
        <w:t xml:space="preserve">ai sensi e per gli effetti degli articoli </w:t>
      </w:r>
      <w:r w:rsidRPr="00915900">
        <w:rPr>
          <w:rFonts w:cs="Calibri"/>
          <w:b/>
          <w:iCs/>
        </w:rPr>
        <w:t>46 E 47 DEL D.P.R. 445/2000</w:t>
      </w:r>
      <w:r w:rsidR="00A7481A">
        <w:rPr>
          <w:rFonts w:cs="Calibri"/>
          <w:b/>
          <w:iCs/>
        </w:rPr>
        <w:t>)</w:t>
      </w:r>
    </w:p>
    <w:p w14:paraId="2FB3BBC3" w14:textId="77777777" w:rsidR="008408EF" w:rsidRDefault="008408EF" w:rsidP="0064181A">
      <w:pPr>
        <w:jc w:val="both"/>
        <w:rPr>
          <w:rFonts w:cs="Calibri"/>
          <w:b/>
          <w:iCs/>
        </w:rPr>
      </w:pPr>
    </w:p>
    <w:p w14:paraId="1D36E86E" w14:textId="77777777" w:rsidR="008408EF" w:rsidRPr="008408EF" w:rsidRDefault="008408EF" w:rsidP="008408EF">
      <w:pPr>
        <w:spacing w:before="120" w:after="0" w:line="240" w:lineRule="auto"/>
        <w:ind w:right="-170"/>
        <w:jc w:val="center"/>
        <w:rPr>
          <w:rFonts w:eastAsia="Times New Roman" w:cs="Calibri"/>
          <w:b/>
          <w:u w:val="single"/>
          <w:lang w:eastAsia="it-IT"/>
        </w:rPr>
      </w:pPr>
      <w:r w:rsidRPr="008408EF">
        <w:rPr>
          <w:rFonts w:eastAsia="Times New Roman" w:cs="Calibri"/>
          <w:b/>
          <w:u w:val="single"/>
          <w:lang w:eastAsia="it-IT"/>
        </w:rPr>
        <w:t>DICHIARAZIONE SOSTITUTIVA DELL’ATTO DI NOTORIETÀ</w:t>
      </w:r>
    </w:p>
    <w:p w14:paraId="5E7F8D77" w14:textId="77777777" w:rsidR="008408EF" w:rsidRPr="008408EF" w:rsidRDefault="008408EF" w:rsidP="008408EF">
      <w:pPr>
        <w:spacing w:before="120" w:after="0" w:line="240" w:lineRule="auto"/>
        <w:ind w:right="-170"/>
        <w:jc w:val="center"/>
        <w:rPr>
          <w:rFonts w:eastAsia="Times New Roman" w:cs="Calibri"/>
          <w:lang w:val="de-DE" w:eastAsia="it-IT"/>
        </w:rPr>
      </w:pPr>
      <w:r w:rsidRPr="008408EF">
        <w:rPr>
          <w:rFonts w:eastAsia="Times New Roman" w:cs="Calibri"/>
          <w:i/>
          <w:lang w:val="de-DE" w:eastAsia="it-IT"/>
        </w:rPr>
        <w:t>(art. 47 del D.P.R. 28.12.2000, n. 445</w:t>
      </w:r>
      <w:r w:rsidRPr="008408EF">
        <w:rPr>
          <w:rFonts w:eastAsia="Times New Roman" w:cs="Calibri"/>
          <w:lang w:val="de-DE" w:eastAsia="it-IT"/>
        </w:rPr>
        <w:t>)</w:t>
      </w:r>
    </w:p>
    <w:p w14:paraId="5E62EF56" w14:textId="77777777" w:rsidR="008408EF" w:rsidRPr="008408EF" w:rsidRDefault="008408EF" w:rsidP="008408EF">
      <w:pPr>
        <w:tabs>
          <w:tab w:val="left" w:pos="9639"/>
        </w:tabs>
        <w:spacing w:before="120" w:after="0" w:line="240" w:lineRule="auto"/>
        <w:ind w:right="-1"/>
        <w:jc w:val="both"/>
        <w:rPr>
          <w:rFonts w:cs="Calibri"/>
        </w:rPr>
      </w:pPr>
      <w:r w:rsidRPr="008408EF">
        <w:rPr>
          <w:rFonts w:cs="Calibri"/>
        </w:rPr>
        <w:t>Il sottoscritto __________________________________________, nato _____________________________ (________) il______________, residente a ______________________________ (________) in Via/Piazza ___________________ N. ________ , nella sua qualità di _____________________________ e legale rappresentante della _____________________________________________, con sede legale in ____________________________(________),Via/Piazza_______________________________ n.________, C.F.____________________________________, P.IVA n. _________________________________________</w:t>
      </w:r>
    </w:p>
    <w:p w14:paraId="799B4A6C" w14:textId="211DBA3E" w:rsidR="008408EF" w:rsidRPr="008408EF" w:rsidRDefault="008408EF" w:rsidP="008408EF">
      <w:pPr>
        <w:tabs>
          <w:tab w:val="left" w:pos="9639"/>
        </w:tabs>
        <w:spacing w:before="120" w:after="0" w:line="240" w:lineRule="auto"/>
        <w:ind w:right="-1"/>
        <w:jc w:val="both"/>
        <w:rPr>
          <w:rFonts w:cs="Calibri"/>
        </w:rPr>
      </w:pPr>
      <w:r w:rsidRPr="008408EF">
        <w:rPr>
          <w:rFonts w:cs="Calibri"/>
        </w:rPr>
        <w:t>Indirizzo e-Mail: ___________________________Indirizzo PEC: _______________________</w:t>
      </w:r>
    </w:p>
    <w:p w14:paraId="5582FA22" w14:textId="77777777" w:rsidR="008408EF" w:rsidRPr="008408EF" w:rsidRDefault="008408EF" w:rsidP="008408EF">
      <w:pPr>
        <w:tabs>
          <w:tab w:val="left" w:pos="9639"/>
        </w:tabs>
        <w:spacing w:before="120" w:after="0" w:line="240" w:lineRule="auto"/>
        <w:ind w:right="-1"/>
        <w:jc w:val="both"/>
        <w:rPr>
          <w:rFonts w:cs="Calibri"/>
        </w:rPr>
      </w:pPr>
    </w:p>
    <w:p w14:paraId="1CC2CF95" w14:textId="77777777" w:rsidR="008408EF" w:rsidRPr="008408EF" w:rsidRDefault="008408EF" w:rsidP="008408EF">
      <w:pPr>
        <w:spacing w:before="120" w:after="0" w:line="240" w:lineRule="auto"/>
        <w:jc w:val="both"/>
        <w:rPr>
          <w:rFonts w:eastAsia="Times New Roman" w:cs="Calibri"/>
          <w:lang w:eastAsia="it-IT"/>
        </w:rPr>
      </w:pPr>
      <w:r w:rsidRPr="008408EF">
        <w:rPr>
          <w:rFonts w:eastAsia="Times New Roman" w:cs="Calibri"/>
          <w:lang w:eastAsia="it-IT"/>
        </w:rPr>
        <w:t xml:space="preserve">e, </w:t>
      </w:r>
      <w:r w:rsidRPr="008408EF">
        <w:rPr>
          <w:rFonts w:eastAsia="Times New Roman" w:cs="Calibri"/>
          <w:b/>
          <w:lang w:eastAsia="it-IT"/>
        </w:rPr>
        <w:t>limitatamente ai successivi articoli 1), lettere a), b), c), d), e), f), g), h) 2) e 13, lettere g e h), in nome e per conto</w:t>
      </w:r>
      <w:r w:rsidRPr="008408EF">
        <w:rPr>
          <w:rFonts w:eastAsia="Times New Roman" w:cs="Calibri"/>
          <w:lang w:eastAsia="it-IT"/>
        </w:rPr>
        <w:t xml:space="preserve"> dei seguenti soggetti di cui all’art. 94 comma 3 d.lgs. 36/2023 </w:t>
      </w:r>
      <w:r w:rsidRPr="008408EF">
        <w:rPr>
          <w:rFonts w:eastAsia="Times New Roman" w:cs="Calibri"/>
          <w:b/>
          <w:lang w:eastAsia="it-IT"/>
        </w:rPr>
        <w:t>(vedere Nota A)</w:t>
      </w:r>
    </w:p>
    <w:p w14:paraId="78A249D0" w14:textId="77777777" w:rsidR="008408EF" w:rsidRPr="008408EF" w:rsidRDefault="008408EF" w:rsidP="008408EF">
      <w:pPr>
        <w:spacing w:before="120" w:after="0" w:line="240" w:lineRule="auto"/>
        <w:jc w:val="both"/>
        <w:rPr>
          <w:rFonts w:eastAsia="Times New Roman" w:cs="Calibri"/>
          <w:i/>
          <w:caps/>
          <w:lang w:eastAsia="it-IT"/>
        </w:rPr>
      </w:pPr>
      <w:r w:rsidRPr="008408EF">
        <w:rPr>
          <w:rFonts w:eastAsia="Times New Roman" w:cs="Calibri"/>
          <w:lang w:eastAsia="it-IT"/>
        </w:rPr>
        <w:t>(</w:t>
      </w:r>
      <w:r w:rsidRPr="008408EF">
        <w:rPr>
          <w:rFonts w:eastAsia="Times New Roman" w:cs="Calibri"/>
          <w:i/>
          <w:lang w:eastAsia="it-IT"/>
        </w:rPr>
        <w:t>indicare i soggetti per cui si rendono le dichiarazioni</w:t>
      </w:r>
      <w:r w:rsidRPr="008408EF">
        <w:rPr>
          <w:rFonts w:eastAsia="Times New Roman" w:cs="Calibri"/>
          <w:i/>
          <w:caps/>
          <w:lang w:eastAsia="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1"/>
        <w:gridCol w:w="1919"/>
        <w:gridCol w:w="2011"/>
        <w:gridCol w:w="1849"/>
      </w:tblGrid>
      <w:tr w:rsidR="008408EF" w:rsidRPr="008408EF" w14:paraId="59E4E81B" w14:textId="77777777" w:rsidTr="00920C76">
        <w:tc>
          <w:tcPr>
            <w:tcW w:w="1928" w:type="dxa"/>
          </w:tcPr>
          <w:p w14:paraId="04F6A3B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Nome e Cognome</w:t>
            </w:r>
          </w:p>
        </w:tc>
        <w:tc>
          <w:tcPr>
            <w:tcW w:w="1921" w:type="dxa"/>
          </w:tcPr>
          <w:p w14:paraId="04F3F77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dATA E lUOGO DI NASCITA</w:t>
            </w:r>
          </w:p>
        </w:tc>
        <w:tc>
          <w:tcPr>
            <w:tcW w:w="1919" w:type="dxa"/>
          </w:tcPr>
          <w:p w14:paraId="1E68F1A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cODICE fISCALE</w:t>
            </w:r>
          </w:p>
        </w:tc>
        <w:tc>
          <w:tcPr>
            <w:tcW w:w="2011" w:type="dxa"/>
          </w:tcPr>
          <w:p w14:paraId="3B0BB60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rESIDENZA (INDIRIZZO COMPLETO</w:t>
            </w:r>
          </w:p>
        </w:tc>
        <w:tc>
          <w:tcPr>
            <w:tcW w:w="1849" w:type="dxa"/>
          </w:tcPr>
          <w:p w14:paraId="4B5368B6"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r w:rsidRPr="008408EF">
              <w:rPr>
                <w:rFonts w:ascii="Times New Roman" w:eastAsia="Times New Roman" w:hAnsi="Times New Roman" w:cs="Calibri"/>
                <w:i/>
                <w:caps/>
                <w:lang w:eastAsia="it-IT"/>
              </w:rPr>
              <w:t>QUALIFICA</w:t>
            </w:r>
          </w:p>
        </w:tc>
      </w:tr>
      <w:tr w:rsidR="008408EF" w:rsidRPr="008408EF" w14:paraId="24173F7B" w14:textId="77777777" w:rsidTr="00920C76">
        <w:tc>
          <w:tcPr>
            <w:tcW w:w="1928" w:type="dxa"/>
          </w:tcPr>
          <w:p w14:paraId="3DA9336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1F26610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1E64CBC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1BEAEF7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1EF124A3"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348813C6" w14:textId="77777777" w:rsidTr="00920C76">
        <w:tc>
          <w:tcPr>
            <w:tcW w:w="1928" w:type="dxa"/>
          </w:tcPr>
          <w:p w14:paraId="2AEB295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1A9E291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409BA84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2E92AF57"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4C5D5B65"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17101964" w14:textId="77777777" w:rsidTr="00920C76">
        <w:tc>
          <w:tcPr>
            <w:tcW w:w="1928" w:type="dxa"/>
          </w:tcPr>
          <w:p w14:paraId="636B63DA"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29E282A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1BA2B8F"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0E25FB52"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622741B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5F52FAFD" w14:textId="77777777" w:rsidTr="00920C76">
        <w:tc>
          <w:tcPr>
            <w:tcW w:w="1928" w:type="dxa"/>
          </w:tcPr>
          <w:p w14:paraId="5FAACEFE"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36D3D2EC"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74F69BE"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3C989F33"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46204710"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r w:rsidR="008408EF" w:rsidRPr="008408EF" w14:paraId="146EA204" w14:textId="77777777" w:rsidTr="00920C76">
        <w:tc>
          <w:tcPr>
            <w:tcW w:w="1928" w:type="dxa"/>
          </w:tcPr>
          <w:p w14:paraId="0D73B55F"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21" w:type="dxa"/>
          </w:tcPr>
          <w:p w14:paraId="2B01C1D9"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919" w:type="dxa"/>
          </w:tcPr>
          <w:p w14:paraId="7D766E7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2011" w:type="dxa"/>
          </w:tcPr>
          <w:p w14:paraId="43795DEB"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c>
          <w:tcPr>
            <w:tcW w:w="1849" w:type="dxa"/>
          </w:tcPr>
          <w:p w14:paraId="2214D651" w14:textId="77777777" w:rsidR="008408EF" w:rsidRPr="008408EF" w:rsidRDefault="008408EF" w:rsidP="00920C76">
            <w:pPr>
              <w:spacing w:before="120" w:after="0" w:line="240" w:lineRule="auto"/>
              <w:jc w:val="both"/>
              <w:rPr>
                <w:rFonts w:ascii="Times New Roman" w:eastAsia="Times New Roman" w:hAnsi="Times New Roman" w:cs="Calibri"/>
                <w:i/>
                <w:caps/>
                <w:lang w:eastAsia="it-IT"/>
              </w:rPr>
            </w:pPr>
          </w:p>
        </w:tc>
      </w:tr>
    </w:tbl>
    <w:p w14:paraId="734A3CF4" w14:textId="77777777" w:rsidR="008408EF" w:rsidRDefault="008408EF" w:rsidP="008408EF">
      <w:pPr>
        <w:spacing w:before="120" w:after="0" w:line="240" w:lineRule="auto"/>
        <w:jc w:val="both"/>
        <w:rPr>
          <w:rFonts w:eastAsia="Times New Roman" w:cs="Calibri"/>
          <w:b/>
          <w:lang w:eastAsia="it-IT"/>
        </w:rPr>
      </w:pPr>
      <w:r w:rsidRPr="008408EF">
        <w:rPr>
          <w:rFonts w:eastAsia="Times New Roman" w:cs="Calibri"/>
          <w:b/>
          <w:lang w:eastAsia="it-IT"/>
        </w:rPr>
        <w:t xml:space="preserve">consapevole delle sanzioni penali previste dall’art. 76 del D.P.R. 28/12/2000, n. 445, nel caso di dichiarazioni mendaci, esibizione di atti falsi o contenenti dati non più corrispondenti al vero, nonché della decadenza dai benefici conseguenti al provvedimento eventualmente emanato sulla base della dichiarazione non veritiera, qualora dal controllo effettuato emerga la non veridicità del contenuto della medesima (art. 75 D.P.R 28/12/2000, n. 445), </w:t>
      </w:r>
    </w:p>
    <w:p w14:paraId="0211641D" w14:textId="77777777" w:rsidR="006A14FB" w:rsidRDefault="006A14FB" w:rsidP="008408EF">
      <w:pPr>
        <w:spacing w:before="120" w:after="0" w:line="240" w:lineRule="auto"/>
        <w:jc w:val="both"/>
        <w:rPr>
          <w:rFonts w:eastAsia="Times New Roman" w:cs="Calibri"/>
          <w:b/>
          <w:lang w:eastAsia="it-IT"/>
        </w:rPr>
      </w:pPr>
    </w:p>
    <w:p w14:paraId="703A6F98" w14:textId="77777777" w:rsidR="006A14FB" w:rsidRPr="00D67C52" w:rsidRDefault="006A14FB" w:rsidP="006A14FB">
      <w:pPr>
        <w:spacing w:before="120"/>
        <w:jc w:val="center"/>
        <w:rPr>
          <w:rFonts w:ascii="Calibri Light" w:hAnsi="Calibri Light" w:cs="Calibri Light"/>
          <w:b/>
        </w:rPr>
      </w:pPr>
      <w:r w:rsidRPr="00D67C52">
        <w:rPr>
          <w:rFonts w:ascii="Calibri Light" w:hAnsi="Calibri Light" w:cs="Calibri Light"/>
          <w:b/>
          <w:u w:val="single"/>
        </w:rPr>
        <w:t>DICHIARA</w:t>
      </w:r>
    </w:p>
    <w:p w14:paraId="0CD809DE" w14:textId="77777777" w:rsidR="006A14FB" w:rsidRPr="00D67C52" w:rsidRDefault="006A14FB" w:rsidP="006A14FB">
      <w:pPr>
        <w:pStyle w:val="Paragrafoelenco"/>
        <w:numPr>
          <w:ilvl w:val="0"/>
          <w:numId w:val="12"/>
        </w:numPr>
        <w:spacing w:before="120" w:after="0" w:line="240" w:lineRule="auto"/>
        <w:ind w:left="0" w:firstLine="0"/>
        <w:jc w:val="both"/>
        <w:rPr>
          <w:rFonts w:ascii="Calibri Light" w:hAnsi="Calibri Light" w:cs="Calibri Light"/>
        </w:rPr>
      </w:pPr>
      <w:r w:rsidRPr="00D67C52">
        <w:rPr>
          <w:rFonts w:ascii="Calibri Light" w:hAnsi="Calibri Light" w:cs="Calibri Light"/>
        </w:rPr>
        <w:t>l’inesistenza delle cause di esclusione automatica elencate all’art.</w:t>
      </w:r>
      <w:r>
        <w:rPr>
          <w:rFonts w:ascii="Calibri Light" w:hAnsi="Calibri Light" w:cs="Calibri Light"/>
        </w:rPr>
        <w:t xml:space="preserve"> </w:t>
      </w:r>
      <w:r w:rsidRPr="00D67C52">
        <w:rPr>
          <w:rFonts w:ascii="Calibri Light" w:hAnsi="Calibri Light" w:cs="Calibri Light"/>
        </w:rPr>
        <w:t xml:space="preserve">94 del </w:t>
      </w:r>
      <w:proofErr w:type="spellStart"/>
      <w:r w:rsidRPr="00D67C52">
        <w:rPr>
          <w:rFonts w:ascii="Calibri Light" w:hAnsi="Calibri Light" w:cs="Calibri Light"/>
        </w:rPr>
        <w:t>D.Lgs.</w:t>
      </w:r>
      <w:proofErr w:type="spellEnd"/>
      <w:r w:rsidRPr="00D67C52">
        <w:rPr>
          <w:rFonts w:ascii="Calibri Light" w:hAnsi="Calibri Light" w:cs="Calibri Light"/>
        </w:rPr>
        <w:t xml:space="preserve"> n. 36/2023, ed in particolare:</w:t>
      </w:r>
    </w:p>
    <w:p w14:paraId="56FF4690"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b/>
          <w:i/>
          <w:sz w:val="22"/>
          <w:szCs w:val="22"/>
        </w:rPr>
      </w:pPr>
      <w:r w:rsidRPr="00D67C52">
        <w:rPr>
          <w:rFonts w:ascii="Calibri Light" w:hAnsi="Calibri Light" w:cs="Calibri Light"/>
          <w:b/>
          <w:i/>
          <w:sz w:val="22"/>
          <w:szCs w:val="22"/>
        </w:rPr>
        <w:lastRenderedPageBreak/>
        <w:t>(Barrare le caselle di interesse)</w:t>
      </w:r>
    </w:p>
    <w:p w14:paraId="1A42F601"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che nei propri confronti e nei confronti dei soggetti sopra indicati non è stata pronunciata condanna con sentenza definitiva o decreto penale di condanna divenuto irrevocabile per uno dei seguenti reati:</w:t>
      </w:r>
    </w:p>
    <w:p w14:paraId="15E4493A"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 xml:space="preserve">a) delitti, consumati o tentati, di cui agli </w:t>
      </w:r>
      <w:hyperlink r:id="rId8" w:anchor="416" w:history="1">
        <w:r w:rsidRPr="00D67C52">
          <w:rPr>
            <w:rFonts w:ascii="Calibri Light" w:hAnsi="Calibri Light" w:cs="Calibri Light"/>
            <w:sz w:val="22"/>
            <w:szCs w:val="22"/>
          </w:rPr>
          <w:t>articoli 416, 416-bis del codice penale</w:t>
        </w:r>
      </w:hyperlink>
      <w:r w:rsidRPr="00D67C52">
        <w:rPr>
          <w:rFonts w:ascii="Calibri Light" w:hAnsi="Calibri Light" w:cs="Calibri Light"/>
          <w:sz w:val="22"/>
          <w:szCs w:val="22"/>
        </w:rPr>
        <w:t xml:space="preserve"> oppure delitti commessi avvalendosi delle condizioni previste dal predetto articolo 416-bis oppure al fine di agevolare l'attività delle associazioni previste dallo stesso articolo, nonché per i delitti, consumati o tentati, previsti dall'</w:t>
      </w:r>
      <w:hyperlink r:id="rId9" w:anchor="1990_0309_74" w:history="1">
        <w:r w:rsidRPr="00D67C52">
          <w:rPr>
            <w:rFonts w:ascii="Calibri Light" w:hAnsi="Calibri Light" w:cs="Calibri Light"/>
            <w:sz w:val="22"/>
            <w:szCs w:val="22"/>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D67C52">
        <w:rPr>
          <w:rFonts w:ascii="Calibri Light" w:hAnsi="Calibri Light" w:cs="Calibri Light"/>
          <w:sz w:val="22"/>
          <w:szCs w:val="22"/>
        </w:rPr>
        <w:t xml:space="preserve">, dall'articolo </w:t>
      </w:r>
      <w:hyperlink r:id="rId10" w:anchor="1973_0043_291-quater" w:history="1">
        <w:r w:rsidRPr="00D67C52">
          <w:rPr>
            <w:rFonts w:ascii="Calibri Light" w:hAnsi="Calibri Light" w:cs="Calibri Light"/>
            <w:sz w:val="22"/>
            <w:szCs w:val="22"/>
          </w:rPr>
          <w:t>291-quater del testo unico delle disposizioni legislative in materia doganale, di cui al decreto del Presidente della Repubblica 23 gennaio 1973, n. 43</w:t>
        </w:r>
      </w:hyperlink>
      <w:r w:rsidRPr="00D67C52">
        <w:rPr>
          <w:rFonts w:ascii="Calibri Light" w:hAnsi="Calibri Light" w:cs="Calibri Light"/>
          <w:sz w:val="22"/>
          <w:szCs w:val="22"/>
        </w:rPr>
        <w:t xml:space="preserve"> e dall'</w:t>
      </w:r>
      <w:hyperlink r:id="rId11" w:anchor="452-quardiecies" w:history="1">
        <w:r w:rsidRPr="00D67C52">
          <w:rPr>
            <w:rFonts w:ascii="Calibri Light" w:hAnsi="Calibri Light" w:cs="Calibri Light"/>
            <w:sz w:val="22"/>
            <w:szCs w:val="22"/>
          </w:rPr>
          <w:t>articolo 452-quaterdieces del codice penal</w:t>
        </w:r>
      </w:hyperlink>
      <w:r w:rsidRPr="00D67C52">
        <w:rPr>
          <w:rFonts w:ascii="Calibri Light" w:hAnsi="Calibri Light" w:cs="Calibri Light"/>
          <w:sz w:val="22"/>
          <w:szCs w:val="22"/>
        </w:rPr>
        <w:t>e, in quanto riconducibili alla partecipazione a un'organizzazione criminale, quale definita all'articolo 2 della decisione quadro 2008/841/GAI del Consiglio dell’Unione europea, del 24 ottobre 2008;</w:t>
      </w:r>
    </w:p>
    <w:p w14:paraId="71D9E6C5"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b) delitti, consumati o tentati, di cui agli articoli 317, 318, 319, 319-ter, 319-quater, 320, 321, 322, 322-bis, 346-bis, 353, 353-bis, 354, 355 e 356 del codice penale nonché all'articolo 2635 del codice civile;</w:t>
      </w:r>
    </w:p>
    <w:p w14:paraId="4F771651"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c) false comunicazioni sociali di cui agli articoli 2621 e 2622 del codice civile;</w:t>
      </w:r>
    </w:p>
    <w:p w14:paraId="269FF9EB"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d) frode ai sensi dell'articolo 1 della convenzione relativa alla tutela degli interessi finanziari delle Comunità europee, del 26 luglio 1995;</w:t>
      </w:r>
    </w:p>
    <w:p w14:paraId="624373B3"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e) delitti, consumati o tentati, commessi con finalità di terrorismo, anche internazionale, e di eversione dell'ordine costituzionale reati terroristici o reati connessi alle attività terroristiche;</w:t>
      </w:r>
    </w:p>
    <w:p w14:paraId="50BA973B"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f) delitti di cui agli articoli 648-bis, 648-ter e 648-ter.1 del codice penale, riciclaggio di proventi di attività criminose o finanziamento del terrorismo, quali definiti all'articolo 1 del decreto legislativo 22 giugno 2007, n. 109;</w:t>
      </w:r>
    </w:p>
    <w:p w14:paraId="2148A048"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g) sfruttamento del lavoro minorile e altre forme di tratta di esseri umani definite con il decreto legislativo 4 marzo 2014, n. 24;</w:t>
      </w:r>
    </w:p>
    <w:p w14:paraId="7A39A891"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h) ogni altro delitto da cui derivi, quale pena accessoria, l'incapacità di contrattare con la pubblica amministrazione,</w:t>
      </w:r>
    </w:p>
    <w:p w14:paraId="1104CEA5" w14:textId="77777777" w:rsidR="006A14FB" w:rsidRPr="00D67C52" w:rsidRDefault="006A14FB" w:rsidP="006A14FB">
      <w:pPr>
        <w:pStyle w:val="NormaleWeb"/>
        <w:spacing w:before="120" w:beforeAutospacing="0" w:after="0" w:afterAutospacing="0"/>
        <w:ind w:left="567" w:hanging="141"/>
        <w:jc w:val="both"/>
        <w:rPr>
          <w:rFonts w:ascii="Calibri Light" w:hAnsi="Calibri Light" w:cs="Calibri Light"/>
          <w:sz w:val="22"/>
          <w:szCs w:val="22"/>
        </w:rPr>
      </w:pPr>
      <w:r w:rsidRPr="00D67C52">
        <w:rPr>
          <w:rFonts w:ascii="Calibri Light" w:hAnsi="Calibri Light" w:cs="Calibri Light"/>
          <w:sz w:val="22"/>
          <w:szCs w:val="22"/>
        </w:rPr>
        <w:t>oppure</w:t>
      </w:r>
    </w:p>
    <w:p w14:paraId="00784F1C" w14:textId="77777777" w:rsidR="006A14FB" w:rsidRPr="00D67C52" w:rsidRDefault="006A14FB" w:rsidP="006A14FB">
      <w:pPr>
        <w:pStyle w:val="NormaleWeb"/>
        <w:spacing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di aver riportato le seguenti condanne: (indicare il/i soggetto/i specificando ruolo, imputazione, condanna)</w:t>
      </w:r>
    </w:p>
    <w:p w14:paraId="227F9D5F"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______________________________________________________________________________________________________________________________________________________________________________________________________________________________________________________</w:t>
      </w:r>
    </w:p>
    <w:p w14:paraId="14C501D5"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il reato è stato depenalizzato;</w:t>
      </w:r>
    </w:p>
    <w:p w14:paraId="64E40FD2"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è intervenuta la riabilitazione;</w:t>
      </w:r>
    </w:p>
    <w:p w14:paraId="1C3FDFC5" w14:textId="77777777" w:rsidR="006A14FB" w:rsidRPr="00D67C52" w:rsidRDefault="006A14FB" w:rsidP="006A14FB">
      <w:pPr>
        <w:pStyle w:val="NormaleWeb"/>
        <w:spacing w:before="120" w:beforeAutospacing="0" w:after="0" w:afterAutospacing="0"/>
        <w:ind w:left="1418" w:hanging="851"/>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trattasi di condanna ad una pena accessoria perpetua dichiarata estinta ai sensi dell’art. 179, comma 7, del codice penale;</w:t>
      </w:r>
    </w:p>
    <w:p w14:paraId="597836B9"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il reato è stato dichiarato estinto dopo la condanna;</w:t>
      </w:r>
    </w:p>
    <w:p w14:paraId="73D82CD9" w14:textId="77777777" w:rsidR="006A14FB" w:rsidRPr="00D67C52" w:rsidRDefault="006A14FB" w:rsidP="006A14FB">
      <w:pPr>
        <w:pStyle w:val="NormaleWeb"/>
        <w:spacing w:before="120" w:beforeAutospacing="0" w:after="0" w:afterAutospacing="0"/>
        <w:ind w:left="56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la condanna è stata revocata.</w:t>
      </w:r>
    </w:p>
    <w:p w14:paraId="473D7246"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nei confronti dell’operatore economico e dei soggetti sopra indicati non sussiste alcuna causa di decadenza, di sospensione o di divieto previste dall’articolo 67 del codice delle leggi antimafia e delle </w:t>
      </w:r>
      <w:r w:rsidRPr="00D67C52">
        <w:rPr>
          <w:rFonts w:ascii="Calibri Light" w:hAnsi="Calibri Light" w:cs="Calibri Light"/>
          <w:sz w:val="22"/>
          <w:szCs w:val="22"/>
        </w:rPr>
        <w:lastRenderedPageBreak/>
        <w:t>misure di prevenzione, di cui al decreto legislativo 6 settembre 2011, n. 159 o di un tentativo di infiltrazione mafiosa di cui all’articolo 84, comma 4, del medesimo codice;</w:t>
      </w:r>
    </w:p>
    <w:p w14:paraId="1B55C192"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43EFC539"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b/>
          <w:i/>
          <w:sz w:val="22"/>
          <w:szCs w:val="22"/>
        </w:rPr>
      </w:pPr>
      <w:r w:rsidRPr="00D67C52">
        <w:rPr>
          <w:rFonts w:ascii="Calibri Light" w:hAnsi="Calibri Light" w:cs="Calibri Light"/>
          <w:b/>
          <w:i/>
          <w:sz w:val="22"/>
          <w:szCs w:val="22"/>
        </w:rPr>
        <w:t>(Barrare la casella di interesse)</w:t>
      </w:r>
    </w:p>
    <w:p w14:paraId="606DE49C"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non ha commesso violazioni gravi, </w:t>
      </w:r>
      <w:r w:rsidRPr="00D67C52">
        <w:rPr>
          <w:rFonts w:ascii="Calibri Light" w:hAnsi="Calibri Light" w:cs="Calibri Light"/>
          <w:b/>
          <w:sz w:val="22"/>
          <w:szCs w:val="22"/>
        </w:rPr>
        <w:t>definitivamente accertate</w:t>
      </w:r>
      <w:r w:rsidRPr="00D67C52">
        <w:rPr>
          <w:rFonts w:ascii="Calibri Light" w:hAnsi="Calibri Light" w:cs="Calibri Light"/>
          <w:sz w:val="22"/>
          <w:szCs w:val="22"/>
        </w:rPr>
        <w:t>, degli obblighi relativi al pagamento delle imposte, delle tasse e dei contributi previdenziali secondo la legislazione italiana o quella dello Stato in cui sono stabiliti</w:t>
      </w:r>
      <w:r w:rsidRPr="00D67C52">
        <w:rPr>
          <w:rStyle w:val="Rimandonotaapidipagina"/>
          <w:rFonts w:ascii="Calibri Light" w:hAnsi="Calibri Light" w:cs="Calibri Light"/>
          <w:b/>
          <w:sz w:val="22"/>
          <w:szCs w:val="22"/>
        </w:rPr>
        <w:footnoteReference w:id="1"/>
      </w:r>
      <w:r w:rsidRPr="00D67C52">
        <w:rPr>
          <w:rFonts w:ascii="Calibri Light" w:hAnsi="Calibri Light" w:cs="Calibri Light"/>
          <w:sz w:val="22"/>
          <w:szCs w:val="22"/>
        </w:rPr>
        <w:t>;</w:t>
      </w:r>
    </w:p>
    <w:p w14:paraId="72E82AC2"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ha commesso le seguenti violazioni, definitivamente accertate, degli obblighi relativi al pagamento delle imposte, delle tasse e dei contributi previdenziali </w:t>
      </w:r>
    </w:p>
    <w:p w14:paraId="4FBD3881"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tabs>
          <w:tab w:val="left" w:pos="360"/>
        </w:tabs>
        <w:autoSpaceDE/>
        <w:autoSpaceDN/>
        <w:adjustRightInd/>
        <w:ind w:left="360"/>
        <w:jc w:val="both"/>
        <w:rPr>
          <w:rFonts w:ascii="Calibri Light" w:hAnsi="Calibri Light" w:cs="Calibri Light"/>
          <w:i/>
          <w:iCs/>
          <w:sz w:val="22"/>
          <w:szCs w:val="22"/>
        </w:rPr>
      </w:pPr>
      <w:r w:rsidRPr="00D67C52">
        <w:rPr>
          <w:rFonts w:ascii="Calibri Light" w:hAnsi="Calibri Light" w:cs="Calibri Light"/>
          <w:i/>
          <w:iCs/>
          <w:sz w:val="22"/>
          <w:szCs w:val="22"/>
        </w:rPr>
        <w:t>(dichiarare tutte le violazioni, definitivamente accertate, degli obblighi relativi al pagamento delle imposte, delle tasse e dei contributi previdenziali)</w:t>
      </w:r>
    </w:p>
    <w:p w14:paraId="292D9996"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5569D879"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58A270A6"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6AC87036"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2685B4A4" w14:textId="77777777" w:rsidR="006A14FB"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726FB624"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42AB769E"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r w:rsidRPr="00D67C52">
        <w:rPr>
          <w:rFonts w:ascii="Calibri Light" w:hAnsi="Calibri Light" w:cs="Calibri Light"/>
          <w:i/>
          <w:sz w:val="22"/>
          <w:szCs w:val="22"/>
        </w:rPr>
        <w:t>(dichiarare se ricorrono le condizioni di cui all’ultimo periodo dell’art. 94, comma 6, del D.lgs. 36/2023, fornendo le indicazioni utili)</w:t>
      </w:r>
      <w:r w:rsidRPr="00D67C52">
        <w:rPr>
          <w:rStyle w:val="Rimandonotaapidipagina"/>
          <w:rFonts w:ascii="Calibri Light" w:hAnsi="Calibri Light" w:cs="Calibri Light"/>
          <w:b/>
          <w:i/>
          <w:sz w:val="22"/>
          <w:szCs w:val="22"/>
        </w:rPr>
        <w:footnoteReference w:id="2"/>
      </w:r>
    </w:p>
    <w:p w14:paraId="46F268D5"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5CACA09F"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659AED85" w14:textId="77777777" w:rsidR="006A14FB" w:rsidRPr="00D67C52" w:rsidRDefault="006A14FB" w:rsidP="006A14FB">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p>
    <w:p w14:paraId="0396E787" w14:textId="77777777" w:rsidR="006A14FB" w:rsidRPr="00D67C52" w:rsidRDefault="006A14FB" w:rsidP="006A14FB">
      <w:pPr>
        <w:pStyle w:val="NormaleWeb"/>
        <w:spacing w:before="0" w:beforeAutospacing="0" w:after="0" w:afterAutospacing="0"/>
        <w:ind w:left="360"/>
        <w:jc w:val="both"/>
        <w:rPr>
          <w:rFonts w:ascii="Calibri Light" w:hAnsi="Calibri Light" w:cs="Calibri Light"/>
          <w:sz w:val="22"/>
          <w:szCs w:val="22"/>
        </w:rPr>
      </w:pPr>
    </w:p>
    <w:p w14:paraId="4F3CE236" w14:textId="77777777" w:rsidR="006A14FB" w:rsidRPr="00D67C52" w:rsidRDefault="006A14FB" w:rsidP="006A14FB">
      <w:pPr>
        <w:pStyle w:val="NormaleWeb"/>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 xml:space="preserve">In ordine alle suddette dichiarazioni indica quale Ufficio Locale dell’Agenzia delle Entrate competente: </w:t>
      </w:r>
    </w:p>
    <w:p w14:paraId="6DBF05FC"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 Indirizzo: _____________________________________________________________________;</w:t>
      </w:r>
    </w:p>
    <w:p w14:paraId="5455829E"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ii.</w:t>
      </w:r>
      <w:r w:rsidRPr="00D67C52">
        <w:rPr>
          <w:rFonts w:ascii="Calibri Light" w:hAnsi="Calibri Light" w:cs="Calibri Light"/>
          <w:sz w:val="22"/>
          <w:szCs w:val="22"/>
        </w:rPr>
        <w:tab/>
        <w:t>numero di telefono: __________________________________________________________;</w:t>
      </w:r>
    </w:p>
    <w:p w14:paraId="6F80BACB" w14:textId="77777777" w:rsidR="006A14FB" w:rsidRPr="00D67C52" w:rsidRDefault="006A14FB" w:rsidP="006A14FB">
      <w:pPr>
        <w:pStyle w:val="NormaleWeb"/>
        <w:spacing w:before="0" w:beforeAutospacing="0" w:after="0" w:afterAutospacing="0"/>
        <w:ind w:firstLine="360"/>
        <w:jc w:val="both"/>
        <w:rPr>
          <w:rFonts w:ascii="Calibri Light" w:hAnsi="Calibri Light" w:cs="Calibri Light"/>
          <w:sz w:val="22"/>
          <w:szCs w:val="22"/>
        </w:rPr>
      </w:pPr>
      <w:r w:rsidRPr="00D67C52">
        <w:rPr>
          <w:rFonts w:ascii="Calibri Light" w:hAnsi="Calibri Light" w:cs="Calibri Light"/>
          <w:sz w:val="22"/>
          <w:szCs w:val="22"/>
        </w:rPr>
        <w:t>iii.</w:t>
      </w:r>
      <w:r w:rsidRPr="00D67C52">
        <w:rPr>
          <w:rFonts w:ascii="Calibri Light" w:hAnsi="Calibri Light" w:cs="Calibri Light"/>
          <w:sz w:val="22"/>
          <w:szCs w:val="22"/>
        </w:rPr>
        <w:tab/>
      </w:r>
      <w:proofErr w:type="spellStart"/>
      <w:r w:rsidRPr="00D67C52">
        <w:rPr>
          <w:rFonts w:ascii="Calibri Light" w:hAnsi="Calibri Light" w:cs="Calibri Light"/>
          <w:sz w:val="22"/>
          <w:szCs w:val="22"/>
        </w:rPr>
        <w:t>pec</w:t>
      </w:r>
      <w:proofErr w:type="spellEnd"/>
      <w:r w:rsidRPr="00D67C52">
        <w:rPr>
          <w:rFonts w:ascii="Calibri Light" w:hAnsi="Calibri Light" w:cs="Calibri Light"/>
          <w:sz w:val="22"/>
          <w:szCs w:val="22"/>
        </w:rPr>
        <w:t>, fax e/o e-mail: ___________________________________________________________;</w:t>
      </w:r>
    </w:p>
    <w:p w14:paraId="388ADDF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4271BC2C"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204CB85B"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w:t>
      </w:r>
      <w:r w:rsidRPr="00D67C52">
        <w:rPr>
          <w:rFonts w:ascii="Calibri Light" w:hAnsi="Calibri Light" w:cs="Calibri Light"/>
          <w:i/>
          <w:sz w:val="22"/>
          <w:szCs w:val="22"/>
        </w:rPr>
        <w:t>Barrare la casella di interesse</w:t>
      </w:r>
      <w:r w:rsidRPr="00D67C52">
        <w:rPr>
          <w:rFonts w:ascii="Calibri Light" w:hAnsi="Calibri Light" w:cs="Calibri Light"/>
          <w:sz w:val="22"/>
          <w:szCs w:val="22"/>
        </w:rPr>
        <w:t>)</w:t>
      </w:r>
    </w:p>
    <w:p w14:paraId="3A4942C4"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lastRenderedPageBreak/>
        <w:sym w:font="Wingdings" w:char="F06F"/>
      </w:r>
      <w:r w:rsidRPr="00D67C52">
        <w:rPr>
          <w:rFonts w:ascii="Calibri Light" w:hAnsi="Calibri Light" w:cs="Calibri Light"/>
          <w:sz w:val="22"/>
          <w:szCs w:val="22"/>
        </w:rPr>
        <w:t xml:space="preserve"> </w:t>
      </w:r>
      <w:r w:rsidRPr="00D67C52">
        <w:rPr>
          <w:rFonts w:ascii="Calibri Light" w:hAnsi="Calibri Light" w:cs="Calibri Light"/>
          <w:sz w:val="22"/>
          <w:szCs w:val="22"/>
        </w:rPr>
        <w:tab/>
        <w:t>non è stato sottoposto a liquidazione giudiziale e non si trova in stato di liquidazione coatta o di concordato preventivo e di non essere soggetto un procedimento per l’accesso a una di tali procedure</w:t>
      </w:r>
      <w:r w:rsidRPr="00D67C52">
        <w:rPr>
          <w:rStyle w:val="Rimandonotaapidipagina"/>
          <w:rFonts w:ascii="Calibri Light" w:hAnsi="Calibri Light" w:cs="Calibri Light"/>
          <w:b/>
          <w:sz w:val="22"/>
          <w:szCs w:val="22"/>
        </w:rPr>
        <w:footnoteReference w:id="3"/>
      </w:r>
      <w:r w:rsidRPr="00D67C52">
        <w:rPr>
          <w:rFonts w:ascii="Calibri Light" w:hAnsi="Calibri Light" w:cs="Calibri Light"/>
          <w:sz w:val="22"/>
          <w:szCs w:val="22"/>
        </w:rPr>
        <w:t>;</w:t>
      </w:r>
    </w:p>
    <w:p w14:paraId="27932C86"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i/>
          <w:sz w:val="22"/>
          <w:szCs w:val="22"/>
        </w:rPr>
      </w:pPr>
      <w:r w:rsidRPr="00D67C52">
        <w:rPr>
          <w:rFonts w:ascii="Calibri Light" w:hAnsi="Calibri Light" w:cs="Calibri Light"/>
          <w:i/>
          <w:sz w:val="22"/>
          <w:szCs w:val="22"/>
        </w:rPr>
        <w:t>ovvero</w:t>
      </w:r>
    </w:p>
    <w:p w14:paraId="541FE9EB"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 xml:space="preserve"> </w:t>
      </w:r>
      <w:r w:rsidRPr="00D67C52">
        <w:rPr>
          <w:rFonts w:ascii="Calibri Light" w:hAnsi="Calibri Light" w:cs="Calibri Light"/>
          <w:sz w:val="22"/>
          <w:szCs w:val="22"/>
        </w:rPr>
        <w:tab/>
        <w:t>entro la data dell’aggiudicazione sono stati adottati i provvedimenti di cui all’</w:t>
      </w:r>
      <w:hyperlink r:id="rId12" w:anchor="1942_0267_186-bis" w:tgtFrame="_self" w:history="1">
        <w:r w:rsidRPr="00D67C52">
          <w:rPr>
            <w:rFonts w:ascii="Calibri Light" w:hAnsi="Calibri Light" w:cs="Calibri Light"/>
            <w:sz w:val="22"/>
            <w:szCs w:val="22"/>
          </w:rPr>
          <w:t>articolo 186-bis, comma 5, del regio decreto 16 marzo 1942, n. 267</w:t>
        </w:r>
      </w:hyperlink>
      <w:r w:rsidRPr="00D67C52">
        <w:rPr>
          <w:rFonts w:ascii="Calibri Light" w:hAnsi="Calibri Light" w:cs="Calibri Light"/>
          <w:sz w:val="22"/>
          <w:szCs w:val="22"/>
        </w:rPr>
        <w:t xml:space="preserve"> e all’</w:t>
      </w:r>
      <w:hyperlink r:id="rId13" w:tgtFrame="_blank" w:history="1">
        <w:r w:rsidRPr="00D67C52">
          <w:rPr>
            <w:rFonts w:ascii="Calibri Light" w:hAnsi="Calibri Light" w:cs="Calibri Light"/>
            <w:sz w:val="22"/>
            <w:szCs w:val="22"/>
          </w:rPr>
          <w:t>articolo 95, commi 3 e 4, del codice di cui al decreto legislativo n. 14 del 2019</w:t>
        </w:r>
      </w:hyperlink>
      <w:r w:rsidRPr="00D67C52">
        <w:rPr>
          <w:rFonts w:ascii="Calibri Light" w:hAnsi="Calibri Light" w:cs="Calibri Light"/>
          <w:sz w:val="22"/>
          <w:szCs w:val="22"/>
        </w:rPr>
        <w:t>.</w:t>
      </w:r>
    </w:p>
    <w:p w14:paraId="675DC305"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l'operatore economico non è iscritto nel casellario informatico tenuto dall'ANAC per aver presentato false dichiarazioni o falsa documentazione nelle procedure di gara e negli affidamenti di subappalti; </w:t>
      </w:r>
    </w:p>
    <w:p w14:paraId="130F912D"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è iscritto nel casellario informatico tenuto dall'ANAC per aver presentato false dichiarazioni o falsa documentazione ai fini del rilascio dell'attestazione di qualificazione, per il periodo durante il quale perdura l'iscrizione;</w:t>
      </w:r>
    </w:p>
    <w:p w14:paraId="5741369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ai sensi dell’art. 17 della legge 12.03.1999, n. 68:</w:t>
      </w:r>
    </w:p>
    <w:p w14:paraId="7BD78D53"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b/>
          <w:sz w:val="22"/>
          <w:szCs w:val="22"/>
        </w:rPr>
      </w:pPr>
      <w:r w:rsidRPr="00D67C52">
        <w:rPr>
          <w:rFonts w:ascii="Calibri Light" w:hAnsi="Calibri Light" w:cs="Calibri Light"/>
          <w:b/>
          <w:sz w:val="22"/>
          <w:szCs w:val="22"/>
        </w:rPr>
        <w:t>(</w:t>
      </w:r>
      <w:r w:rsidRPr="00D67C52">
        <w:rPr>
          <w:rFonts w:ascii="Calibri Light" w:hAnsi="Calibri Light" w:cs="Calibri Light"/>
          <w:b/>
          <w:i/>
          <w:sz w:val="22"/>
          <w:szCs w:val="22"/>
        </w:rPr>
        <w:t>Barrare la casella di interesse</w:t>
      </w:r>
      <w:r w:rsidRPr="00D67C52">
        <w:rPr>
          <w:rFonts w:ascii="Calibri Light" w:hAnsi="Calibri Light" w:cs="Calibri Light"/>
          <w:b/>
          <w:sz w:val="22"/>
          <w:szCs w:val="22"/>
        </w:rPr>
        <w:t>)</w:t>
      </w:r>
    </w:p>
    <w:p w14:paraId="1755A6E3"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l’operatore economico è in regola con le norme che disciplinano il diritto al lavoro dei disabili poiché ha ottemperato alle disposizioni contenute nella Legge 68/99 o _________________</w:t>
      </w:r>
      <w:proofErr w:type="gramStart"/>
      <w:r w:rsidRPr="00D67C52">
        <w:rPr>
          <w:rFonts w:ascii="Calibri Light" w:hAnsi="Calibri Light" w:cs="Calibri Light"/>
          <w:sz w:val="22"/>
          <w:szCs w:val="22"/>
        </w:rPr>
        <w:t>_(</w:t>
      </w:r>
      <w:proofErr w:type="gramEnd"/>
      <w:r w:rsidRPr="00D67C52">
        <w:rPr>
          <w:rFonts w:ascii="Calibri Light" w:hAnsi="Calibri Light" w:cs="Calibri Light"/>
          <w:sz w:val="22"/>
          <w:szCs w:val="22"/>
        </w:rPr>
        <w:t>indicare la Legge Stato estero). Gli adempimenti sono stati eseguiti presso l’Ufficio _________________________di _________________, Via ________________________n. ___________ e-mail _____________________________;</w:t>
      </w:r>
    </w:p>
    <w:p w14:paraId="4BEFFE26"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l’operatore economico non è soggetto agli obblighi di assunzione obbligatoria previsti dalla Legge 68/99 per i seguenti motivi: </w:t>
      </w:r>
      <w:r w:rsidRPr="00D67C52">
        <w:rPr>
          <w:rFonts w:ascii="Calibri Light" w:hAnsi="Calibri Light" w:cs="Calibri Light"/>
          <w:b/>
          <w:sz w:val="22"/>
          <w:szCs w:val="22"/>
        </w:rPr>
        <w:t>[indicare i motivi di esenzione]</w:t>
      </w:r>
    </w:p>
    <w:p w14:paraId="50F5CDAC" w14:textId="77777777" w:rsidR="006A14FB" w:rsidRPr="00D67C52" w:rsidRDefault="006A14FB" w:rsidP="006A14FB">
      <w:pPr>
        <w:pStyle w:val="NormaleWeb"/>
        <w:spacing w:before="0" w:beforeAutospacing="0" w:after="120" w:afterAutospacing="0"/>
        <w:ind w:left="720"/>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w:t>
      </w:r>
    </w:p>
    <w:p w14:paraId="00E01F79"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in _____________________ (Stato estero) non esiste una normativa sull’assunzione obbligatoria dei disabili.</w:t>
      </w:r>
    </w:p>
    <w:p w14:paraId="31240C38" w14:textId="77777777" w:rsidR="006A14FB" w:rsidRPr="00D67C52" w:rsidRDefault="006A14FB" w:rsidP="006A14FB">
      <w:pPr>
        <w:spacing w:before="120"/>
        <w:jc w:val="center"/>
        <w:rPr>
          <w:rFonts w:ascii="Calibri Light" w:hAnsi="Calibri Light" w:cs="Calibri Light"/>
          <w:b/>
        </w:rPr>
      </w:pPr>
      <w:r w:rsidRPr="00D67C52">
        <w:rPr>
          <w:rFonts w:ascii="Calibri Light" w:hAnsi="Calibri Light" w:cs="Calibri Light"/>
          <w:b/>
          <w:u w:val="single"/>
        </w:rPr>
        <w:t>DICHIARA ALTRESI’</w:t>
      </w:r>
    </w:p>
    <w:p w14:paraId="4EF5A114" w14:textId="77777777" w:rsidR="006A14FB" w:rsidRPr="00D67C52" w:rsidRDefault="006A14FB" w:rsidP="006A14FB">
      <w:pPr>
        <w:pStyle w:val="Paragrafoelenco"/>
        <w:numPr>
          <w:ilvl w:val="0"/>
          <w:numId w:val="12"/>
        </w:numPr>
        <w:spacing w:before="120" w:after="0" w:line="240" w:lineRule="auto"/>
        <w:ind w:left="0" w:firstLine="0"/>
        <w:jc w:val="both"/>
        <w:rPr>
          <w:rFonts w:ascii="Calibri Light" w:hAnsi="Calibri Light" w:cs="Calibri Light"/>
        </w:rPr>
      </w:pPr>
      <w:r w:rsidRPr="00D67C52">
        <w:rPr>
          <w:rFonts w:ascii="Calibri Light" w:hAnsi="Calibri Light" w:cs="Calibri Light"/>
        </w:rPr>
        <w:t xml:space="preserve">L’inesistenza delle cause di esclusione non automatica elencate nell’art. 95 del </w:t>
      </w:r>
      <w:proofErr w:type="spellStart"/>
      <w:r w:rsidRPr="00D67C52">
        <w:rPr>
          <w:rFonts w:ascii="Calibri Light" w:hAnsi="Calibri Light" w:cs="Calibri Light"/>
        </w:rPr>
        <w:t>D.Lgs.</w:t>
      </w:r>
      <w:proofErr w:type="spellEnd"/>
      <w:r w:rsidRPr="00D67C52">
        <w:rPr>
          <w:rFonts w:ascii="Calibri Light" w:hAnsi="Calibri Light" w:cs="Calibri Light"/>
        </w:rPr>
        <w:t xml:space="preserve"> n. 36/2023, ed in particolare:</w:t>
      </w:r>
    </w:p>
    <w:p w14:paraId="40314E5A"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 non ha commesso gravi infrazioni alle norme in materia di salute e sicurezza sul lavoro nonché agli obblighi in materia ambientale, sociale e del lavoro stabiliti dalla normativa europea e nazionale, dai contratti collettivi o dalle disposizioni internazionali elencate nell’</w:t>
      </w:r>
      <w:hyperlink r:id="rId14" w:tgtFrame="_blank" w:history="1">
        <w:r w:rsidRPr="00D67C52">
          <w:rPr>
            <w:rFonts w:ascii="Calibri Light" w:hAnsi="Calibri Light" w:cs="Calibri Light"/>
            <w:sz w:val="22"/>
            <w:szCs w:val="22"/>
          </w:rPr>
          <w:t>allegato X alla direttiva 2014/24/UE del Parlamento europeo e del Consiglio del 26 febbraio 2014</w:t>
        </w:r>
      </w:hyperlink>
      <w:r w:rsidRPr="00D67C52">
        <w:rPr>
          <w:rFonts w:ascii="Calibri Light" w:hAnsi="Calibri Light" w:cs="Calibri Light"/>
          <w:sz w:val="22"/>
          <w:szCs w:val="22"/>
        </w:rPr>
        <w:t>;</w:t>
      </w:r>
    </w:p>
    <w:p w14:paraId="3E9798D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la propria partecipazione non determina una situazione di conflitto di interesse di cui all’</w:t>
      </w:r>
      <w:hyperlink r:id="rId15" w:anchor="016" w:history="1">
        <w:r w:rsidRPr="00D67C52">
          <w:rPr>
            <w:rFonts w:ascii="Calibri Light" w:hAnsi="Calibri Light" w:cs="Calibri Light"/>
            <w:sz w:val="22"/>
            <w:szCs w:val="22"/>
          </w:rPr>
          <w:t>articolo 16</w:t>
        </w:r>
      </w:hyperlink>
      <w:r w:rsidRPr="00D67C52">
        <w:rPr>
          <w:rFonts w:ascii="Calibri Light" w:hAnsi="Calibri Light" w:cs="Calibri Light"/>
          <w:sz w:val="22"/>
          <w:szCs w:val="22"/>
        </w:rPr>
        <w:t xml:space="preserve"> del D.lgs. 36/2023 non diversamente risolvibile;</w:t>
      </w:r>
    </w:p>
    <w:p w14:paraId="58CED774"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la propria partecipazione non determina una distorsione della concorrenza derivante dal precedente coinvolgimento nella preparazione della procedura che non possa essere risolta con misure meno intrusive;</w:t>
      </w:r>
    </w:p>
    <w:p w14:paraId="122C603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non sono intervenuti accordi con altri operatori economici partecipanti alla procedura e di aver formulato autonomamente l'offerta; </w:t>
      </w:r>
    </w:p>
    <w:p w14:paraId="4B733CF3"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 xml:space="preserve">che l’operatore economico non ha commesso un illecito professionale grave ai sensi dell’art. </w:t>
      </w:r>
      <w:r>
        <w:rPr>
          <w:rFonts w:ascii="Calibri Light" w:hAnsi="Calibri Light" w:cs="Calibri Light"/>
          <w:sz w:val="22"/>
          <w:szCs w:val="22"/>
        </w:rPr>
        <w:t>98</w:t>
      </w:r>
      <w:r w:rsidRPr="00D67C52">
        <w:rPr>
          <w:rFonts w:ascii="Calibri Light" w:hAnsi="Calibri Light" w:cs="Calibri Light"/>
          <w:sz w:val="22"/>
          <w:szCs w:val="22"/>
        </w:rPr>
        <w:t xml:space="preserve"> del D.lgs. 36/2023 e, in particolare</w:t>
      </w:r>
    </w:p>
    <w:p w14:paraId="1EF60781"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lastRenderedPageBreak/>
        <w:t xml:space="preserve">a) di non essere destinatario di alcuna sanzione esecutiva irrogata dall’Autorità garante della concorrenza e del mercato o da altra autorità di settore, rilevante in relazione all’oggetto specifico </w:t>
      </w:r>
      <w:r>
        <w:rPr>
          <w:rFonts w:ascii="Calibri Light" w:hAnsi="Calibri Light" w:cs="Calibri Light"/>
          <w:sz w:val="22"/>
          <w:szCs w:val="22"/>
        </w:rPr>
        <w:t>della procedura</w:t>
      </w:r>
      <w:r w:rsidRPr="00D67C52">
        <w:rPr>
          <w:rFonts w:ascii="Calibri Light" w:hAnsi="Calibri Light" w:cs="Calibri Light"/>
          <w:sz w:val="22"/>
          <w:szCs w:val="22"/>
        </w:rPr>
        <w:t>;</w:t>
      </w:r>
    </w:p>
    <w:p w14:paraId="5F8A8F71" w14:textId="77777777" w:rsidR="006A14FB" w:rsidRPr="00D67C52" w:rsidRDefault="006A14FB" w:rsidP="006A14FB">
      <w:pPr>
        <w:pStyle w:val="NormaleWeb"/>
        <w:spacing w:before="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b) di non aver tentato di influenzare indebitamente il processo decisionale della stazione appaltante o di aver ottenuto informazioni riservate a proprio vantaggio oppure di non aver fornito, anche per negligenza, informazioni false o fuorvianti suscettibili di influenzare le decisioni sull'esclusione, la selezione o l'aggiudicazione;</w:t>
      </w:r>
    </w:p>
    <w:p w14:paraId="61ADC900"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 xml:space="preserve">c) di non aver </w:t>
      </w:r>
      <w:r>
        <w:rPr>
          <w:rFonts w:ascii="Calibri Light" w:hAnsi="Calibri Light" w:cs="Calibri Light"/>
          <w:sz w:val="22"/>
          <w:szCs w:val="22"/>
        </w:rPr>
        <w:t>avuto una</w:t>
      </w:r>
      <w:r w:rsidRPr="00D67C52">
        <w:rPr>
          <w:rFonts w:ascii="Calibri Light" w:hAnsi="Calibri Light" w:cs="Calibri Light"/>
          <w:sz w:val="22"/>
          <w:szCs w:val="22"/>
        </w:rPr>
        <w:t xml:space="preserve"> condotta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304F4DE"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t>d) di non aver commesso grave inadempimento nei confronti di uno o più subappaltatori;</w:t>
      </w:r>
    </w:p>
    <w:p w14:paraId="5032C9C1"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e) di non aver violato il divieto di intestazione fiduciaria di cui all'articolo 17 della legge 19 marzo 1990, n. 55, laddove la violazione non sia stata rimossa;</w:t>
      </w:r>
    </w:p>
    <w:p w14:paraId="4772DA8A"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f) che l’operatore economico</w:t>
      </w:r>
    </w:p>
    <w:p w14:paraId="1C36A96A" w14:textId="77777777" w:rsidR="006A14FB" w:rsidRPr="00D67C52" w:rsidRDefault="006A14FB" w:rsidP="006A14FB">
      <w:pPr>
        <w:pStyle w:val="NormaleWeb"/>
        <w:spacing w:before="0" w:beforeAutospacing="0" w:after="0" w:afterAutospacing="0"/>
        <w:ind w:left="357"/>
        <w:jc w:val="both"/>
        <w:rPr>
          <w:rFonts w:ascii="Calibri Light" w:hAnsi="Calibri Light" w:cs="Calibri Light"/>
          <w:b/>
          <w:sz w:val="22"/>
          <w:szCs w:val="22"/>
        </w:rPr>
      </w:pPr>
      <w:r w:rsidRPr="00D67C52">
        <w:rPr>
          <w:rFonts w:ascii="Calibri Light" w:hAnsi="Calibri Light" w:cs="Calibri Light"/>
          <w:b/>
          <w:sz w:val="22"/>
          <w:szCs w:val="22"/>
        </w:rPr>
        <w:t>(</w:t>
      </w:r>
      <w:r w:rsidRPr="00D67C52">
        <w:rPr>
          <w:rFonts w:ascii="Calibri Light" w:hAnsi="Calibri Light" w:cs="Calibri Light"/>
          <w:b/>
          <w:i/>
          <w:sz w:val="22"/>
          <w:szCs w:val="22"/>
        </w:rPr>
        <w:t>Barrare la casella di interesse</w:t>
      </w:r>
      <w:r w:rsidRPr="00D67C52">
        <w:rPr>
          <w:rFonts w:ascii="Calibri Light" w:hAnsi="Calibri Light" w:cs="Calibri Light"/>
          <w:b/>
          <w:sz w:val="22"/>
          <w:szCs w:val="22"/>
        </w:rPr>
        <w:t>)</w:t>
      </w:r>
    </w:p>
    <w:p w14:paraId="780E13B5"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non è stato vittima dei reati previsti e puniti dagli artt. 317 e 629 c.p., aggravati ai sensi dell’art. 7 del decreto legge 13 maggio 1991, n. 152, convertito, con modificazioni, dalla legge 12 luglio 1991 n. 203.</w:t>
      </w:r>
    </w:p>
    <w:p w14:paraId="4F16FC8A"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stato vittima dei suddetti reati ma ha denunciato i fatti all’autorità giudiziaria;</w:t>
      </w:r>
    </w:p>
    <w:p w14:paraId="3FE328A7"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stato vittima dei reati previsti e puniti dagli artt. 317 e 629 c.p., aggravati ai sensi dell’art. 7 del decreto legge 13 maggio 1991, n. 152, convertito, con modificazioni, dalla legge 12 luglio 1991 n. 203, e non ha denunciato i fatti all’autorità giudiziaria, in quanto ricorrono i casi previsti dall’art. 4, 1 comma, della legge 24 novembre 1981, n. 689.</w:t>
      </w:r>
    </w:p>
    <w:p w14:paraId="089B6570"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g) che l’operatore economico, ovvero alcuno dei soggetti di cui al comma 3 dell’articolo 94 del D.lgs. 36/2023, non ha ricevuto contestazioni circa la commissione di taluno dei reati consumati o tentati di cui al comma 1 del medesimo articolo 94;</w:t>
      </w:r>
    </w:p>
    <w:p w14:paraId="4C8F3A33" w14:textId="77777777" w:rsidR="006A14FB" w:rsidRPr="00D67C52" w:rsidRDefault="006A14FB" w:rsidP="006A14FB">
      <w:pPr>
        <w:pStyle w:val="NormaleWeb"/>
        <w:spacing w:before="120" w:beforeAutospacing="0" w:after="0" w:afterAutospacing="0"/>
        <w:ind w:left="357"/>
        <w:jc w:val="both"/>
        <w:rPr>
          <w:rFonts w:ascii="Calibri Light" w:hAnsi="Calibri Light" w:cs="Calibri Light"/>
          <w:sz w:val="22"/>
          <w:szCs w:val="22"/>
        </w:rPr>
      </w:pPr>
      <w:r w:rsidRPr="00D67C52">
        <w:rPr>
          <w:rFonts w:ascii="Calibri Light" w:hAnsi="Calibri Light" w:cs="Calibri Light"/>
          <w:sz w:val="22"/>
          <w:szCs w:val="22"/>
        </w:rPr>
        <w:t xml:space="preserve">h) che l’operatore economico, ovvero alcuno dei soggetti di cui al comma 3 dell’articolo 94 del D.lgs. 36/2023, </w:t>
      </w:r>
      <w:r w:rsidRPr="00D67C52">
        <w:rPr>
          <w:rFonts w:ascii="Calibri Light" w:hAnsi="Calibri Light" w:cs="Calibri Light"/>
          <w:b/>
          <w:sz w:val="22"/>
          <w:szCs w:val="22"/>
        </w:rPr>
        <w:t>(</w:t>
      </w:r>
      <w:r w:rsidRPr="00D67C52">
        <w:rPr>
          <w:rFonts w:ascii="Calibri Light" w:hAnsi="Calibri Light" w:cs="Calibri Light"/>
          <w:b/>
          <w:i/>
          <w:sz w:val="22"/>
          <w:szCs w:val="22"/>
        </w:rPr>
        <w:t>Barrare le caselle di interesse</w:t>
      </w:r>
      <w:r w:rsidRPr="00D67C52">
        <w:rPr>
          <w:rFonts w:ascii="Calibri Light" w:hAnsi="Calibri Light" w:cs="Calibri Light"/>
          <w:b/>
          <w:sz w:val="22"/>
          <w:szCs w:val="22"/>
        </w:rPr>
        <w:t>)</w:t>
      </w:r>
    </w:p>
    <w:p w14:paraId="2DB89F6E"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 xml:space="preserve">non </w:t>
      </w:r>
      <w:r>
        <w:rPr>
          <w:rFonts w:ascii="Calibri Light" w:hAnsi="Calibri Light" w:cs="Calibri Light"/>
          <w:sz w:val="22"/>
          <w:szCs w:val="22"/>
        </w:rPr>
        <w:t xml:space="preserve">è </w:t>
      </w:r>
      <w:r w:rsidRPr="00D67C52">
        <w:rPr>
          <w:rFonts w:ascii="Calibri Light" w:hAnsi="Calibri Light" w:cs="Calibri Light"/>
          <w:sz w:val="22"/>
          <w:szCs w:val="22"/>
        </w:rPr>
        <w:t>stata accertata e non ha ricevuto contestazioni circa la commissione dei seguenti reati consumati:</w:t>
      </w:r>
    </w:p>
    <w:p w14:paraId="1EC8FDD4"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1) abusivo esercizio di una professione, ai sensi dell’articolo 348 del codice penale;</w:t>
      </w:r>
    </w:p>
    <w:p w14:paraId="1FBE70B4"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2) bancarotta semplice, bancarotta fraudolenta, omessa dichiarazione di beni da comprendere nell’inventario fallimentare o ricorso abusivo al credito, di cui agli articoli 216, 217, 218 e 220 del regio decreto 16 marzo 1942, n. 267;</w:t>
      </w:r>
    </w:p>
    <w:p w14:paraId="67F67631"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3) i reati tributari ai sensi del decreto legislativo 10 marzo 2000, n. 74, i delitti societari di cui agli articoli 2621 e seguenti del codice civile o i delitti contro l’industria e il commercio di cui agli articoli da 513 a 517 del codice penale;</w:t>
      </w:r>
    </w:p>
    <w:p w14:paraId="7521169B" w14:textId="77777777" w:rsidR="006A14FB" w:rsidRPr="00D67C52" w:rsidRDefault="006A14FB" w:rsidP="006A14FB">
      <w:pPr>
        <w:pStyle w:val="NormaleWeb"/>
        <w:spacing w:before="120" w:beforeAutospacing="0" w:after="120" w:afterAutospacing="0"/>
        <w:ind w:left="851"/>
        <w:jc w:val="both"/>
        <w:rPr>
          <w:rFonts w:ascii="Calibri Light" w:hAnsi="Calibri Light" w:cs="Calibri Light"/>
          <w:sz w:val="22"/>
          <w:szCs w:val="22"/>
        </w:rPr>
      </w:pPr>
      <w:r w:rsidRPr="00D67C52">
        <w:rPr>
          <w:rFonts w:ascii="Calibri Light" w:hAnsi="Calibri Light" w:cs="Calibri Light"/>
          <w:sz w:val="22"/>
          <w:szCs w:val="22"/>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116D2C3A" w14:textId="77777777" w:rsidR="006A14FB" w:rsidRPr="00D67C52" w:rsidRDefault="006A14FB" w:rsidP="006A14FB">
      <w:pPr>
        <w:pStyle w:val="NormaleWeb"/>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5) i reati previsti dal decreto legislativo 8 giugno 2001, n. 231.</w:t>
      </w:r>
    </w:p>
    <w:p w14:paraId="2446608C" w14:textId="77777777" w:rsidR="006A14FB" w:rsidRPr="00D67C52" w:rsidRDefault="006A14FB" w:rsidP="006A14FB">
      <w:pPr>
        <w:pStyle w:val="NormaleWeb"/>
        <w:spacing w:before="120" w:beforeAutospacing="0" w:after="0" w:afterAutospacing="0"/>
        <w:ind w:left="426"/>
        <w:jc w:val="both"/>
        <w:rPr>
          <w:rFonts w:ascii="Calibri Light" w:hAnsi="Calibri Light" w:cs="Calibri Light"/>
          <w:sz w:val="22"/>
          <w:szCs w:val="22"/>
        </w:rPr>
      </w:pPr>
      <w:r w:rsidRPr="00D67C52">
        <w:rPr>
          <w:rFonts w:ascii="Calibri Light" w:hAnsi="Calibri Light" w:cs="Calibri Light"/>
          <w:sz w:val="22"/>
          <w:szCs w:val="22"/>
        </w:rPr>
        <w:lastRenderedPageBreak/>
        <w:t>ovvero</w:t>
      </w:r>
    </w:p>
    <w:p w14:paraId="3AF2AC88"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ha ricevuto contestazione e/o è stata accerta nei suoi confronti la commissione del/i seguente/i reato/i</w:t>
      </w:r>
    </w:p>
    <w:p w14:paraId="0AD1B6CD" w14:textId="77777777" w:rsidR="006A14FB" w:rsidRPr="00D67C52" w:rsidRDefault="006A14FB" w:rsidP="006A14FB">
      <w:pPr>
        <w:pStyle w:val="NormaleWeb"/>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5E7E56" w14:textId="77777777" w:rsidR="006A14FB" w:rsidRPr="00D67C52" w:rsidRDefault="006A14FB" w:rsidP="006A14FB">
      <w:pPr>
        <w:pStyle w:val="NormaleWeb"/>
        <w:numPr>
          <w:ilvl w:val="0"/>
          <w:numId w:val="13"/>
        </w:numPr>
        <w:spacing w:before="120"/>
        <w:ind w:left="851"/>
        <w:jc w:val="both"/>
        <w:rPr>
          <w:rFonts w:ascii="Calibri Light" w:hAnsi="Calibri Light" w:cs="Calibri Light"/>
          <w:sz w:val="22"/>
          <w:szCs w:val="22"/>
        </w:rPr>
      </w:pPr>
      <w:r w:rsidRPr="00D67C52">
        <w:rPr>
          <w:rFonts w:ascii="Calibri Light" w:hAnsi="Calibri Light" w:cs="Calibri Light"/>
          <w:sz w:val="22"/>
          <w:szCs w:val="22"/>
        </w:rPr>
        <w:t>il reato è stato depenalizzato;</w:t>
      </w:r>
    </w:p>
    <w:p w14:paraId="06217500"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è intervenuta la riabilitazione;</w:t>
      </w:r>
    </w:p>
    <w:p w14:paraId="4C92269D"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trattasi di condanna a una pena accessoria perpetua dichiarata estinta ai sensi dell’articolo 179, comma 7, del codice penale;</w:t>
      </w:r>
    </w:p>
    <w:p w14:paraId="1DE035EB"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il reato è stato dichiarato estinto dopo la condanna;</w:t>
      </w:r>
    </w:p>
    <w:p w14:paraId="3D814CE4" w14:textId="77777777" w:rsidR="006A14FB" w:rsidRPr="00D67C52" w:rsidRDefault="006A14FB" w:rsidP="006A14FB">
      <w:pPr>
        <w:pStyle w:val="NormaleWeb"/>
        <w:numPr>
          <w:ilvl w:val="0"/>
          <w:numId w:val="13"/>
        </w:numPr>
        <w:spacing w:before="120" w:beforeAutospacing="0" w:after="0" w:afterAutospacing="0"/>
        <w:ind w:left="851"/>
        <w:jc w:val="both"/>
        <w:rPr>
          <w:rFonts w:ascii="Calibri Light" w:hAnsi="Calibri Light" w:cs="Calibri Light"/>
          <w:sz w:val="22"/>
          <w:szCs w:val="22"/>
        </w:rPr>
      </w:pPr>
      <w:r w:rsidRPr="00D67C52">
        <w:rPr>
          <w:rFonts w:ascii="Calibri Light" w:hAnsi="Calibri Light" w:cs="Calibri Light"/>
          <w:sz w:val="22"/>
          <w:szCs w:val="22"/>
        </w:rPr>
        <w:t>la condanna è stata revocata.</w:t>
      </w:r>
    </w:p>
    <w:p w14:paraId="246F9C79" w14:textId="77777777" w:rsidR="006A14FB" w:rsidRPr="00D67C52" w:rsidRDefault="006A14FB" w:rsidP="006A14FB">
      <w:pPr>
        <w:pStyle w:val="NormaleWeb"/>
        <w:numPr>
          <w:ilvl w:val="0"/>
          <w:numId w:val="11"/>
        </w:numPr>
        <w:spacing w:before="120" w:beforeAutospacing="0" w:after="0" w:afterAutospacing="0"/>
        <w:jc w:val="both"/>
        <w:rPr>
          <w:rFonts w:ascii="Calibri Light" w:hAnsi="Calibri Light" w:cs="Calibri Light"/>
          <w:sz w:val="22"/>
          <w:szCs w:val="22"/>
        </w:rPr>
      </w:pPr>
      <w:r w:rsidRPr="00D67C52">
        <w:rPr>
          <w:rFonts w:ascii="Calibri Light" w:hAnsi="Calibri Light" w:cs="Calibri Light"/>
          <w:sz w:val="22"/>
          <w:szCs w:val="22"/>
        </w:rPr>
        <w:t>che l’operatore economico:</w:t>
      </w:r>
    </w:p>
    <w:p w14:paraId="68D29908" w14:textId="77777777" w:rsidR="006A14FB" w:rsidRPr="00D67C52" w:rsidRDefault="006A14FB" w:rsidP="006A14FB">
      <w:pPr>
        <w:pStyle w:val="NormaleWeb"/>
        <w:tabs>
          <w:tab w:val="left" w:pos="426"/>
        </w:tabs>
        <w:spacing w:before="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t>(</w:t>
      </w:r>
      <w:r w:rsidRPr="00D67C52">
        <w:rPr>
          <w:rFonts w:ascii="Calibri Light" w:hAnsi="Calibri Light" w:cs="Calibri Light"/>
          <w:i/>
          <w:sz w:val="22"/>
          <w:szCs w:val="22"/>
        </w:rPr>
        <w:t>Barrare la casella di interesse</w:t>
      </w:r>
      <w:r w:rsidRPr="00D67C52">
        <w:rPr>
          <w:rFonts w:ascii="Calibri Light" w:hAnsi="Calibri Light" w:cs="Calibri Light"/>
          <w:sz w:val="22"/>
          <w:szCs w:val="22"/>
        </w:rPr>
        <w:t>)</w:t>
      </w:r>
    </w:p>
    <w:p w14:paraId="7245C841" w14:textId="77777777" w:rsidR="006A14FB" w:rsidRPr="00D67C52" w:rsidRDefault="006A14FB" w:rsidP="006A14FB">
      <w:pPr>
        <w:pStyle w:val="NormaleWeb"/>
        <w:spacing w:before="120" w:beforeAutospacing="0" w:after="0" w:afterAutospacing="0"/>
        <w:ind w:left="360"/>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non ha commesso violazioni gravi</w:t>
      </w:r>
      <w:r w:rsidRPr="00D67C52">
        <w:rPr>
          <w:rFonts w:ascii="Calibri Light" w:hAnsi="Calibri Light" w:cs="Calibri Light"/>
          <w:b/>
          <w:sz w:val="22"/>
          <w:szCs w:val="22"/>
        </w:rPr>
        <w:t xml:space="preserve"> non definitivamente accertate </w:t>
      </w:r>
      <w:r w:rsidRPr="00D67C52">
        <w:rPr>
          <w:rFonts w:ascii="Calibri Light" w:hAnsi="Calibri Light" w:cs="Calibri Light"/>
          <w:sz w:val="22"/>
          <w:szCs w:val="22"/>
        </w:rPr>
        <w:t>agli obblighi relativi al pagamento di imposte e tasse o contributi previdenziali, secondo la legislazione italiana o quella dello Stato in cui sono stabiliti</w:t>
      </w:r>
      <w:r w:rsidRPr="00D67C52">
        <w:rPr>
          <w:rStyle w:val="Rimandonotaapidipagina"/>
          <w:rFonts w:ascii="Calibri Light" w:hAnsi="Calibri Light" w:cs="Calibri Light"/>
          <w:sz w:val="22"/>
          <w:szCs w:val="22"/>
        </w:rPr>
        <w:footnoteReference w:id="4"/>
      </w:r>
      <w:r w:rsidRPr="00D67C52">
        <w:rPr>
          <w:rFonts w:ascii="Calibri Light" w:hAnsi="Calibri Light" w:cs="Calibri Light"/>
          <w:sz w:val="22"/>
          <w:szCs w:val="22"/>
        </w:rPr>
        <w:t>;</w:t>
      </w:r>
    </w:p>
    <w:p w14:paraId="7A206B95" w14:textId="77777777" w:rsidR="006A14FB" w:rsidRPr="00D67C52" w:rsidRDefault="006A14FB" w:rsidP="006A14FB">
      <w:pPr>
        <w:pStyle w:val="NormaleWeb"/>
        <w:spacing w:before="120" w:beforeAutospacing="0" w:after="120" w:afterAutospacing="0"/>
        <w:ind w:left="357"/>
        <w:jc w:val="both"/>
        <w:rPr>
          <w:rFonts w:ascii="Calibri Light" w:hAnsi="Calibri Light" w:cs="Calibri Light"/>
          <w:sz w:val="22"/>
          <w:szCs w:val="22"/>
        </w:rPr>
      </w:pPr>
      <w:r w:rsidRPr="00D67C52">
        <w:rPr>
          <w:rFonts w:ascii="Calibri Light" w:hAnsi="Calibri Light" w:cs="Calibri Light"/>
          <w:sz w:val="22"/>
          <w:szCs w:val="22"/>
        </w:rPr>
        <w:sym w:font="Wingdings" w:char="F06F"/>
      </w:r>
      <w:r w:rsidRPr="00D67C52">
        <w:rPr>
          <w:rFonts w:ascii="Calibri Light" w:hAnsi="Calibri Light" w:cs="Calibri Light"/>
          <w:sz w:val="22"/>
          <w:szCs w:val="22"/>
        </w:rPr>
        <w:tab/>
        <w:t xml:space="preserve">ha commesso le seguenti violazioni non definitivamente accertate agli obblighi relativi al pagamento di imposte e tasse o contributi previdenziali </w:t>
      </w:r>
    </w:p>
    <w:p w14:paraId="48CC2AA4"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tabs>
          <w:tab w:val="left" w:pos="360"/>
        </w:tabs>
        <w:autoSpaceDE/>
        <w:autoSpaceDN/>
        <w:adjustRightInd/>
        <w:ind w:left="360"/>
        <w:jc w:val="both"/>
        <w:rPr>
          <w:rFonts w:ascii="Calibri Light" w:hAnsi="Calibri Light" w:cs="Calibri Light"/>
          <w:i/>
          <w:iCs/>
          <w:sz w:val="22"/>
          <w:szCs w:val="22"/>
        </w:rPr>
      </w:pPr>
      <w:r w:rsidRPr="00D67C52">
        <w:rPr>
          <w:rFonts w:ascii="Calibri Light" w:hAnsi="Calibri Light" w:cs="Calibri Light"/>
          <w:i/>
          <w:iCs/>
          <w:sz w:val="22"/>
          <w:szCs w:val="22"/>
        </w:rPr>
        <w:t>(dichiarare tutte le violazioni, non definitivamente accertate, degli obblighi relativi al pagamento delle imposte, delle tasse e dei contributi previdenziali)</w:t>
      </w:r>
    </w:p>
    <w:p w14:paraId="5B8CA4A0"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3D94802B"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0505B6A2"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473C237E"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jc w:val="both"/>
        <w:rPr>
          <w:rFonts w:ascii="Calibri Light" w:hAnsi="Calibri Light" w:cs="Calibri Light"/>
          <w:i/>
          <w:sz w:val="22"/>
          <w:szCs w:val="22"/>
        </w:rPr>
      </w:pPr>
      <w:r w:rsidRPr="00D67C52">
        <w:rPr>
          <w:rFonts w:ascii="Calibri Light" w:hAnsi="Calibri Light" w:cs="Calibri Light"/>
          <w:i/>
          <w:sz w:val="22"/>
          <w:szCs w:val="22"/>
        </w:rPr>
        <w:lastRenderedPageBreak/>
        <w:t>(dichiarare se ricorrono le condizioni di cui all’ultimo periodo dell’art. 95, comma 2, del D.lgs. 36/2023, fornendo le indicazioni utili)</w:t>
      </w:r>
      <w:r w:rsidRPr="00D67C52">
        <w:rPr>
          <w:rStyle w:val="Rimandonotaapidipagina"/>
          <w:rFonts w:ascii="Calibri Light" w:hAnsi="Calibri Light" w:cs="Calibri Light"/>
          <w:b/>
          <w:i/>
          <w:sz w:val="22"/>
          <w:szCs w:val="22"/>
        </w:rPr>
        <w:footnoteReference w:id="5"/>
      </w:r>
    </w:p>
    <w:p w14:paraId="692A6CEA"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1BA14C8A"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16020375" w14:textId="77777777" w:rsidR="006A14FB" w:rsidRPr="00D67C52" w:rsidRDefault="006A14FB" w:rsidP="006A14FB">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Calibri Light" w:hAnsi="Calibri Light" w:cs="Calibri Light"/>
          <w:sz w:val="22"/>
          <w:szCs w:val="22"/>
        </w:rPr>
      </w:pPr>
    </w:p>
    <w:p w14:paraId="664B5141" w14:textId="77777777" w:rsidR="006A14FB" w:rsidRPr="008408EF" w:rsidRDefault="006A14FB" w:rsidP="008408EF">
      <w:pPr>
        <w:spacing w:before="120" w:after="0" w:line="240" w:lineRule="auto"/>
        <w:jc w:val="both"/>
        <w:rPr>
          <w:rFonts w:eastAsia="Times New Roman" w:cs="Calibri"/>
          <w:b/>
          <w:u w:val="single"/>
          <w:lang w:eastAsia="it-IT"/>
        </w:rPr>
      </w:pPr>
    </w:p>
    <w:p w14:paraId="7E4A3B20"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00CB4805"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11969201" w14:textId="77777777" w:rsidR="000C4071" w:rsidRDefault="000C4071" w:rsidP="002F16D4">
      <w:pPr>
        <w:widowControl w:val="0"/>
        <w:suppressAutoHyphens/>
        <w:spacing w:after="0" w:line="240" w:lineRule="auto"/>
        <w:ind w:left="360"/>
        <w:jc w:val="both"/>
        <w:rPr>
          <w:rFonts w:eastAsia="Times New Roman" w:cs="Calibri"/>
          <w:color w:val="000000"/>
          <w:kern w:val="2"/>
          <w:sz w:val="20"/>
          <w:szCs w:val="20"/>
          <w:lang w:eastAsia="zh-CN" w:bidi="hi-IN"/>
        </w:rPr>
      </w:pPr>
    </w:p>
    <w:p w14:paraId="586BEDF4" w14:textId="77777777" w:rsidR="008408EF" w:rsidRPr="008408EF" w:rsidRDefault="008408EF" w:rsidP="008408EF">
      <w:pPr>
        <w:spacing w:before="120" w:after="0" w:line="240" w:lineRule="auto"/>
        <w:ind w:right="-170"/>
        <w:jc w:val="both"/>
        <w:rPr>
          <w:rFonts w:eastAsia="Times New Roman" w:cs="Calibri"/>
          <w:lang w:eastAsia="it-IT"/>
        </w:rPr>
      </w:pPr>
      <w:r w:rsidRPr="008408EF">
        <w:rPr>
          <w:rFonts w:eastAsia="Times New Roman" w:cs="Calibri"/>
          <w:lang w:eastAsia="it-IT"/>
        </w:rPr>
        <w:t>________________________, lì _____________________</w:t>
      </w:r>
    </w:p>
    <w:p w14:paraId="3F949AD2" w14:textId="77777777" w:rsidR="008408EF" w:rsidRPr="008408EF" w:rsidRDefault="008408EF" w:rsidP="008408EF">
      <w:pPr>
        <w:spacing w:before="120" w:after="0" w:line="240" w:lineRule="auto"/>
        <w:ind w:right="-170"/>
        <w:jc w:val="both"/>
        <w:rPr>
          <w:rFonts w:eastAsia="Times New Roman" w:cs="Calibri"/>
          <w:lang w:eastAsia="it-IT"/>
        </w:rPr>
      </w:pPr>
      <w:r w:rsidRPr="008408EF">
        <w:rPr>
          <w:rFonts w:eastAsia="Times New Roman" w:cs="Calibri"/>
          <w:lang w:eastAsia="it-IT"/>
        </w:rPr>
        <w:t>luogo</w:t>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r>
      <w:r w:rsidRPr="008408EF">
        <w:rPr>
          <w:rFonts w:eastAsia="Times New Roman" w:cs="Calibri"/>
          <w:lang w:eastAsia="it-IT"/>
        </w:rPr>
        <w:tab/>
        <w:t>(</w:t>
      </w:r>
      <w:r w:rsidRPr="008408EF">
        <w:rPr>
          <w:rFonts w:eastAsia="Times New Roman" w:cs="Calibri"/>
          <w:i/>
          <w:lang w:eastAsia="it-IT"/>
        </w:rPr>
        <w:t>data</w:t>
      </w:r>
      <w:r w:rsidRPr="008408EF">
        <w:rPr>
          <w:rFonts w:eastAsia="Times New Roman" w:cs="Calibri"/>
          <w:lang w:eastAsia="it-IT"/>
        </w:rPr>
        <w:t>)</w:t>
      </w:r>
      <w:r w:rsidRPr="008408EF">
        <w:rPr>
          <w:rFonts w:eastAsia="Times New Roman" w:cs="Calibri"/>
          <w:lang w:eastAsia="it-IT"/>
        </w:rPr>
        <w:tab/>
      </w:r>
      <w:r w:rsidRPr="008408EF">
        <w:rPr>
          <w:rFonts w:eastAsia="Times New Roman" w:cs="Calibri"/>
          <w:lang w:eastAsia="it-IT"/>
        </w:rPr>
        <w:tab/>
      </w:r>
    </w:p>
    <w:p w14:paraId="43043F1C" w14:textId="77777777" w:rsidR="008408EF" w:rsidRPr="008408EF" w:rsidRDefault="008408EF" w:rsidP="008408EF">
      <w:pPr>
        <w:spacing w:before="120" w:after="0" w:line="240" w:lineRule="auto"/>
        <w:ind w:right="-170"/>
        <w:jc w:val="both"/>
        <w:rPr>
          <w:rFonts w:eastAsia="Times New Roman" w:cs="Calibri"/>
          <w:lang w:eastAsia="it-IT"/>
        </w:rPr>
      </w:pPr>
    </w:p>
    <w:p w14:paraId="14F5E054" w14:textId="77777777" w:rsidR="008408EF" w:rsidRPr="008408EF" w:rsidRDefault="008408EF" w:rsidP="008408EF">
      <w:pPr>
        <w:spacing w:before="120" w:after="0" w:line="240" w:lineRule="auto"/>
        <w:ind w:right="-170"/>
        <w:jc w:val="both"/>
        <w:rPr>
          <w:rFonts w:eastAsia="Times New Roman" w:cs="Calibri"/>
          <w:lang w:eastAsia="it-IT"/>
        </w:rPr>
      </w:pPr>
    </w:p>
    <w:p w14:paraId="37ABB11C" w14:textId="77777777" w:rsidR="008408EF" w:rsidRPr="008408EF" w:rsidRDefault="008408EF" w:rsidP="008408EF">
      <w:pPr>
        <w:spacing w:before="120" w:after="0" w:line="240" w:lineRule="auto"/>
        <w:ind w:left="5671" w:right="-170"/>
        <w:jc w:val="both"/>
        <w:rPr>
          <w:rFonts w:eastAsia="Times New Roman" w:cs="Calibri"/>
          <w:lang w:eastAsia="it-IT"/>
        </w:rPr>
      </w:pPr>
      <w:r w:rsidRPr="008408EF">
        <w:rPr>
          <w:rFonts w:eastAsia="Times New Roman" w:cs="Calibri"/>
          <w:lang w:eastAsia="it-IT"/>
        </w:rPr>
        <w:t>_____________________________________</w:t>
      </w:r>
    </w:p>
    <w:p w14:paraId="50B65AA9" w14:textId="77777777" w:rsidR="008408EF" w:rsidRPr="008408EF" w:rsidRDefault="008408EF" w:rsidP="008408EF">
      <w:pPr>
        <w:spacing w:before="120" w:after="0" w:line="240" w:lineRule="auto"/>
        <w:ind w:left="5664" w:right="-170" w:firstLine="7"/>
        <w:jc w:val="both"/>
        <w:rPr>
          <w:rFonts w:eastAsia="Times New Roman" w:cs="Calibri"/>
          <w:lang w:eastAsia="it-IT"/>
        </w:rPr>
      </w:pPr>
      <w:r w:rsidRPr="008408EF">
        <w:rPr>
          <w:rFonts w:eastAsia="Times New Roman" w:cs="Calibri"/>
          <w:lang w:eastAsia="it-IT"/>
        </w:rPr>
        <w:t xml:space="preserve">       (F</w:t>
      </w:r>
      <w:r w:rsidRPr="008408EF">
        <w:rPr>
          <w:rFonts w:eastAsia="Times New Roman" w:cs="Calibri"/>
          <w:i/>
          <w:lang w:eastAsia="it-IT"/>
        </w:rPr>
        <w:t>irmato digitalmente dal dichiarante</w:t>
      </w:r>
      <w:r w:rsidRPr="008408EF">
        <w:rPr>
          <w:rFonts w:eastAsia="Times New Roman" w:cs="Calibri"/>
          <w:lang w:eastAsia="it-IT"/>
        </w:rPr>
        <w:t>)</w:t>
      </w:r>
    </w:p>
    <w:p w14:paraId="7EC0D6EA" w14:textId="77777777" w:rsidR="008408EF" w:rsidRPr="008408EF" w:rsidRDefault="008408EF" w:rsidP="008408EF">
      <w:pPr>
        <w:spacing w:before="120" w:after="0" w:line="240" w:lineRule="auto"/>
        <w:ind w:right="-170"/>
        <w:jc w:val="both"/>
        <w:rPr>
          <w:rFonts w:eastAsia="Times New Roman" w:cs="Calibri"/>
          <w:b/>
          <w:lang w:eastAsia="it-IT"/>
        </w:rPr>
      </w:pPr>
    </w:p>
    <w:p w14:paraId="4701C0D3" w14:textId="77777777" w:rsidR="008408EF" w:rsidRPr="008408EF" w:rsidRDefault="008408EF" w:rsidP="008408EF">
      <w:pPr>
        <w:spacing w:before="120" w:after="0" w:line="240" w:lineRule="auto"/>
        <w:ind w:right="-170"/>
        <w:jc w:val="both"/>
        <w:rPr>
          <w:rFonts w:eastAsia="Times New Roman" w:cs="Calibri"/>
          <w:b/>
          <w:lang w:eastAsia="it-IT"/>
        </w:rPr>
      </w:pPr>
    </w:p>
    <w:p w14:paraId="294F3532" w14:textId="77777777" w:rsidR="008408EF" w:rsidRPr="008408EF" w:rsidRDefault="008408EF" w:rsidP="008408EF">
      <w:pPr>
        <w:spacing w:before="120" w:after="0" w:line="240" w:lineRule="auto"/>
        <w:ind w:right="-170"/>
        <w:jc w:val="both"/>
        <w:rPr>
          <w:rFonts w:eastAsia="Times New Roman" w:cs="Calibri"/>
          <w:b/>
          <w:lang w:eastAsia="it-IT"/>
        </w:rPr>
      </w:pPr>
    </w:p>
    <w:p w14:paraId="5EB89122" w14:textId="77777777" w:rsidR="008408EF" w:rsidRPr="00AB0FA9" w:rsidRDefault="008408EF" w:rsidP="008408EF">
      <w:pPr>
        <w:spacing w:before="120" w:after="0" w:line="240" w:lineRule="auto"/>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Nota A:</w:t>
      </w:r>
    </w:p>
    <w:p w14:paraId="69A4BA9D" w14:textId="77777777" w:rsidR="008408EF" w:rsidRPr="00AB0FA9" w:rsidRDefault="008408EF" w:rsidP="008408EF">
      <w:pPr>
        <w:spacing w:before="120" w:after="0" w:line="240" w:lineRule="auto"/>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Le dichiarazioni di cui agli articoli 1), lettere a), b), b bis), c), d), e), f) e g), 2) e 13, lettere g) e h) del presente modulo devono essere rese anche in nome e per conto dei seguenti soggetti:</w:t>
      </w:r>
    </w:p>
    <w:p w14:paraId="6F97FD23" w14:textId="77777777" w:rsidR="008408EF" w:rsidRPr="00AB0FA9" w:rsidRDefault="008408EF" w:rsidP="008408EF">
      <w:pPr>
        <w:numPr>
          <w:ilvl w:val="1"/>
          <w:numId w:val="10"/>
        </w:numPr>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 titolare o del direttore tecnico, se si tratta di impresa individuale;</w:t>
      </w:r>
    </w:p>
    <w:p w14:paraId="34D71B55" w14:textId="77777777" w:rsidR="008408EF" w:rsidRPr="00AB0FA9" w:rsidRDefault="008408EF" w:rsidP="008408EF">
      <w:pPr>
        <w:numPr>
          <w:ilvl w:val="1"/>
          <w:numId w:val="10"/>
        </w:numPr>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di un socio amministratore o del direttore tecnico, per le società in nome collettivo;</w:t>
      </w:r>
    </w:p>
    <w:p w14:paraId="3B4049D8"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dei soci accomandatari o del direttore tecnico, per le società in accomandita semplice;</w:t>
      </w:r>
    </w:p>
    <w:p w14:paraId="2C5DC5A0"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 xml:space="preserve">dei membri del consiglio di amministrazione cui sia stata conferita la legale rappresentanza, ivi compresi gli institori e i procuratori generali; </w:t>
      </w:r>
    </w:p>
    <w:p w14:paraId="24736305"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dei componenti degli organi con poteri di direzione o di vigilanza o dei soggetti muniti di poteri di rappresentanza, di direzione o di controllo;</w:t>
      </w:r>
    </w:p>
    <w:p w14:paraId="79AA6CC3"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 direttore tecnico o del socio unico; il socio unico persona fisica, ovvero il socio di maggioranza in caso di società con meno di quattro soci, se si tratta di altro tipo di società o consorzio;</w:t>
      </w:r>
    </w:p>
    <w:p w14:paraId="1A1B6CA7" w14:textId="77777777" w:rsidR="008408EF" w:rsidRPr="00AB0FA9" w:rsidRDefault="008408EF" w:rsidP="008408EF">
      <w:pPr>
        <w:numPr>
          <w:ilvl w:val="1"/>
          <w:numId w:val="10"/>
        </w:numPr>
        <w:tabs>
          <w:tab w:val="num" w:pos="709"/>
        </w:tabs>
        <w:spacing w:after="0" w:line="240" w:lineRule="auto"/>
        <w:ind w:left="709" w:hanging="425"/>
        <w:jc w:val="both"/>
        <w:rPr>
          <w:rFonts w:ascii="Aptos" w:eastAsia="Times New Roman" w:hAnsi="Aptos" w:cs="Aptos"/>
          <w:sz w:val="16"/>
          <w:szCs w:val="16"/>
          <w:lang w:eastAsia="it-IT"/>
        </w:rPr>
      </w:pPr>
      <w:r w:rsidRPr="00AB0FA9">
        <w:rPr>
          <w:rFonts w:ascii="Aptos" w:eastAsia="Times New Roman" w:hAnsi="Aptos" w:cs="Aptos"/>
          <w:sz w:val="16"/>
          <w:szCs w:val="16"/>
          <w:lang w:eastAsia="it-IT"/>
        </w:rPr>
        <w:t>dell’amministratore di fatto nelle ipotesi di cui alle lettere precedenti.</w:t>
      </w:r>
    </w:p>
    <w:p w14:paraId="2924073B" w14:textId="77777777" w:rsidR="008408EF" w:rsidRPr="00AB0FA9" w:rsidRDefault="008408EF" w:rsidP="008408EF">
      <w:pPr>
        <w:spacing w:after="0" w:line="240" w:lineRule="auto"/>
        <w:jc w:val="both"/>
        <w:rPr>
          <w:rFonts w:ascii="Aptos" w:eastAsia="Times New Roman" w:hAnsi="Aptos" w:cs="Aptos"/>
          <w:sz w:val="16"/>
          <w:szCs w:val="16"/>
          <w:lang w:eastAsia="it-IT"/>
        </w:rPr>
      </w:pPr>
    </w:p>
    <w:p w14:paraId="66361DA0" w14:textId="77777777" w:rsidR="008408EF" w:rsidRPr="00AB0FA9" w:rsidRDefault="008408EF" w:rsidP="008408EF">
      <w:pPr>
        <w:spacing w:after="0" w:line="240" w:lineRule="auto"/>
        <w:jc w:val="both"/>
        <w:rPr>
          <w:rFonts w:ascii="Aptos" w:eastAsia="Times New Roman" w:hAnsi="Aptos" w:cs="Aptos"/>
          <w:b/>
          <w:bCs/>
          <w:sz w:val="16"/>
          <w:szCs w:val="16"/>
          <w:u w:val="single"/>
          <w:lang w:eastAsia="it-IT"/>
        </w:rPr>
      </w:pPr>
      <w:r w:rsidRPr="00AB0FA9">
        <w:rPr>
          <w:rFonts w:ascii="Aptos" w:eastAsia="Times New Roman" w:hAnsi="Aptos" w:cs="Aptos"/>
          <w:b/>
          <w:bCs/>
          <w:sz w:val="16"/>
          <w:szCs w:val="16"/>
          <w:u w:val="single"/>
          <w:lang w:eastAsia="it-IT"/>
        </w:rPr>
        <w:t>Nel caso in cui le predette dichiarazioni vengano rese anche in nome e per conto dei sopracitati soggetti, questi ultimi NON sono tenuti ad effettuare le medesime dichiarazioni personalmente; viceversa, i soggetti elencati nella Nota A dovranno provvedere autonomamente a produrre le proprie autodichiarazioni.</w:t>
      </w:r>
    </w:p>
    <w:p w14:paraId="451B6FFF" w14:textId="77777777" w:rsidR="008408EF" w:rsidRPr="00915900" w:rsidRDefault="008408EF" w:rsidP="0064181A">
      <w:pPr>
        <w:jc w:val="both"/>
        <w:rPr>
          <w:rFonts w:cs="Calibri"/>
          <w:b/>
          <w:iCs/>
        </w:rPr>
      </w:pPr>
    </w:p>
    <w:sectPr w:rsidR="008408EF" w:rsidRPr="00915900" w:rsidSect="00780E93">
      <w:headerReference w:type="default"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83713" w14:textId="77777777" w:rsidR="0050154E" w:rsidRDefault="0050154E" w:rsidP="00915900">
      <w:pPr>
        <w:spacing w:after="0" w:line="240" w:lineRule="auto"/>
      </w:pPr>
      <w:r>
        <w:separator/>
      </w:r>
    </w:p>
  </w:endnote>
  <w:endnote w:type="continuationSeparator" w:id="0">
    <w:p w14:paraId="09ABC993" w14:textId="77777777" w:rsidR="0050154E" w:rsidRDefault="0050154E" w:rsidP="00915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773071"/>
      <w:docPartObj>
        <w:docPartGallery w:val="Page Numbers (Bottom of Page)"/>
        <w:docPartUnique/>
      </w:docPartObj>
    </w:sdtPr>
    <w:sdtEndPr/>
    <w:sdtContent>
      <w:p w14:paraId="38665445" w14:textId="017B84CF" w:rsidR="008A0FB9" w:rsidRDefault="008A0FB9">
        <w:pPr>
          <w:pStyle w:val="Pidipagina"/>
          <w:jc w:val="right"/>
        </w:pPr>
        <w:r>
          <w:fldChar w:fldCharType="begin"/>
        </w:r>
        <w:r>
          <w:instrText>PAGE   \* MERGEFORMAT</w:instrText>
        </w:r>
        <w:r>
          <w:fldChar w:fldCharType="separate"/>
        </w:r>
        <w:r w:rsidR="00D13066">
          <w:rPr>
            <w:noProof/>
          </w:rPr>
          <w:t>6</w:t>
        </w:r>
        <w:r>
          <w:fldChar w:fldCharType="end"/>
        </w:r>
      </w:p>
    </w:sdtContent>
  </w:sdt>
  <w:p w14:paraId="5095E7C5" w14:textId="77777777" w:rsidR="008A0FB9" w:rsidRDefault="008A0FB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2C153" w14:textId="77777777" w:rsidR="0050154E" w:rsidRDefault="0050154E" w:rsidP="00915900">
      <w:pPr>
        <w:spacing w:after="0" w:line="240" w:lineRule="auto"/>
      </w:pPr>
      <w:r>
        <w:separator/>
      </w:r>
    </w:p>
  </w:footnote>
  <w:footnote w:type="continuationSeparator" w:id="0">
    <w:p w14:paraId="4A64BBFD" w14:textId="77777777" w:rsidR="0050154E" w:rsidRDefault="0050154E" w:rsidP="00915900">
      <w:pPr>
        <w:spacing w:after="0" w:line="240" w:lineRule="auto"/>
      </w:pPr>
      <w:r>
        <w:continuationSeparator/>
      </w:r>
    </w:p>
  </w:footnote>
  <w:footnote w:id="1">
    <w:p w14:paraId="2778CAEB" w14:textId="77777777" w:rsidR="006A14FB" w:rsidRPr="006A14FB" w:rsidRDefault="006A14FB" w:rsidP="006A14FB">
      <w:pPr>
        <w:pStyle w:val="Testonotaapidipagina"/>
        <w:jc w:val="both"/>
        <w:rPr>
          <w:rFonts w:ascii="Aptos" w:hAnsi="Aptos" w:cs="Aptos"/>
          <w:sz w:val="18"/>
          <w:szCs w:val="18"/>
        </w:rPr>
      </w:pPr>
      <w:r w:rsidRPr="0030612C">
        <w:rPr>
          <w:rStyle w:val="Rimandonotaapidipagina"/>
          <w:b/>
        </w:rPr>
        <w:footnoteRef/>
      </w:r>
      <w:r w:rsidRPr="006A14FB">
        <w:rPr>
          <w:rFonts w:ascii="Aptos" w:hAnsi="Aptos" w:cs="Aptos"/>
          <w:sz w:val="18"/>
          <w:szCs w:val="18"/>
        </w:rPr>
        <w:t>Ai sensi e per gli effetti dell'articolo 94, comma 6, D.lgs 36/2023 costituiscono gravi violazioni quelle che comportano un omesso pagamento di imposte e tasse superiore all'importo di cui all'</w:t>
      </w:r>
      <w:hyperlink r:id="rId1" w:anchor="/ricerca/fonti_documento?idDatabank=7&amp;idDocMaster=3949121&amp;idUnitaDoc=20150147&amp;nVigUnitaDoc=1&amp;docIdx=1&amp;isCorrelazioniSearch=true&amp;correlatoA=Normativa" w:history="1">
        <w:r w:rsidRPr="006A14FB">
          <w:rPr>
            <w:rFonts w:ascii="Aptos" w:hAnsi="Aptos" w:cs="Aptos"/>
            <w:sz w:val="18"/>
            <w:szCs w:val="18"/>
          </w:rPr>
          <w:t>articolo 48-bis, commi 1 e 2-bis, del decreto del Presidente della Repubblica 29 settembre 1973, n. 602</w:t>
        </w:r>
      </w:hyperlink>
      <w:r w:rsidRPr="006A14FB">
        <w:rPr>
          <w:rFonts w:ascii="Aptos" w:hAnsi="Aptos" w:cs="Aptos"/>
          <w:sz w:val="18"/>
          <w:szCs w:val="18"/>
        </w:rPr>
        <w:t>. Costituiscono violazioni definitivamente accertate quelle contenute in sentenze o atti amministrativi non più soggetti a impugnazione. Costituiscono gravi violazioni in materia contributiva e previdenziale quelle ostative al rilascio del documento unico di regolarità contributiva (DURC), di cui al decreto del Ministro del lavoro e delle politiche sociali 30 gennaio 2015, pubblicato nella Gazzetta Ufficiale della Repubblica italiana n. 125 del 1° giugno 2015, ovvero delle certificazioni rilasciate dagli enti previdenziali di riferimento non aderenti al sistema dello sportello unico previdenziale.</w:t>
      </w:r>
    </w:p>
  </w:footnote>
  <w:footnote w:id="2">
    <w:p w14:paraId="600D675F" w14:textId="77777777" w:rsidR="006A14FB" w:rsidRPr="006A14FB" w:rsidRDefault="006A14FB" w:rsidP="006A14FB">
      <w:pPr>
        <w:pStyle w:val="Testonotaapidipagina"/>
        <w:jc w:val="both"/>
        <w:rPr>
          <w:rFonts w:ascii="Aptos" w:hAnsi="Aptos" w:cs="Aptos"/>
          <w:sz w:val="18"/>
          <w:szCs w:val="18"/>
        </w:rPr>
      </w:pPr>
      <w:r w:rsidRPr="0030612C">
        <w:rPr>
          <w:rStyle w:val="Rimandonotaapidipagina"/>
          <w:b/>
        </w:rPr>
        <w:footnoteRef/>
      </w:r>
      <w:r>
        <w:t xml:space="preserve"> </w:t>
      </w:r>
      <w:r w:rsidRPr="006A14FB">
        <w:rPr>
          <w:rFonts w:ascii="Aptos" w:hAnsi="Aptos" w:cs="Aptos"/>
          <w:sz w:val="18"/>
          <w:szCs w:val="18"/>
        </w:rPr>
        <w:t>L’esclusione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3">
    <w:p w14:paraId="7D4384B8" w14:textId="77777777" w:rsidR="006A14FB" w:rsidRDefault="006A14FB" w:rsidP="006A14FB">
      <w:pPr>
        <w:pStyle w:val="Testonotaapidipagina"/>
        <w:jc w:val="both"/>
      </w:pPr>
      <w:r w:rsidRPr="00970813">
        <w:rPr>
          <w:rStyle w:val="Rimandonotaapidipagina"/>
          <w:b/>
        </w:rPr>
        <w:footnoteRef/>
      </w:r>
      <w:r>
        <w:t xml:space="preserve"> </w:t>
      </w:r>
      <w:r w:rsidRPr="006A14FB">
        <w:rPr>
          <w:rFonts w:ascii="Aptos" w:hAnsi="Aptos" w:cs="Aptos"/>
          <w:sz w:val="18"/>
          <w:szCs w:val="18"/>
        </w:rPr>
        <w:t>fermo restando quanto previsto dall’</w:t>
      </w:r>
      <w:hyperlink r:id="rId2" w:anchor="2019_014_095" w:tgtFrame="_blank" w:history="1">
        <w:r w:rsidRPr="006A14FB">
          <w:rPr>
            <w:rFonts w:ascii="Aptos" w:hAnsi="Aptos" w:cs="Aptos"/>
            <w:sz w:val="18"/>
            <w:szCs w:val="18"/>
          </w:rPr>
          <w:t>articolo 95 del codice della crisi di impresa e dell'insolvenza, di cui al decreto legislativo 12 gennaio 2019, n. 14</w:t>
        </w:r>
      </w:hyperlink>
      <w:r w:rsidRPr="006A14FB">
        <w:rPr>
          <w:rFonts w:ascii="Aptos" w:hAnsi="Aptos" w:cs="Aptos"/>
          <w:sz w:val="18"/>
          <w:szCs w:val="18"/>
        </w:rPr>
        <w:t>, dall’</w:t>
      </w:r>
      <w:hyperlink r:id="rId3" w:anchor="1942_0267_186-bis" w:tgtFrame="_self" w:history="1">
        <w:r w:rsidRPr="006A14FB">
          <w:rPr>
            <w:rFonts w:ascii="Aptos" w:hAnsi="Aptos" w:cs="Aptos"/>
            <w:sz w:val="18"/>
            <w:szCs w:val="18"/>
          </w:rPr>
          <w:t>articolo 186-bis, comma 5, del regio decreto 16 marzo 1942, n. 267</w:t>
        </w:r>
      </w:hyperlink>
      <w:r w:rsidRPr="006A14FB">
        <w:rPr>
          <w:rFonts w:ascii="Aptos" w:hAnsi="Aptos" w:cs="Aptos"/>
          <w:sz w:val="18"/>
          <w:szCs w:val="18"/>
        </w:rPr>
        <w:t xml:space="preserve"> e dall'</w:t>
      </w:r>
      <w:hyperlink r:id="rId4" w:anchor="124" w:history="1">
        <w:r w:rsidRPr="006A14FB">
          <w:rPr>
            <w:rFonts w:ascii="Aptos" w:hAnsi="Aptos" w:cs="Aptos"/>
            <w:sz w:val="18"/>
            <w:szCs w:val="18"/>
          </w:rPr>
          <w:t>articolo 124 del presente codice</w:t>
        </w:r>
      </w:hyperlink>
      <w:r w:rsidRPr="006A14FB">
        <w:rPr>
          <w:rFonts w:ascii="Aptos" w:hAnsi="Aptos" w:cs="Aptos"/>
          <w:sz w:val="18"/>
          <w:szCs w:val="18"/>
        </w:rPr>
        <w:t xml:space="preserve">. </w:t>
      </w:r>
    </w:p>
  </w:footnote>
  <w:footnote w:id="4">
    <w:p w14:paraId="2247858D" w14:textId="77777777" w:rsidR="006A14FB" w:rsidRPr="006A14FB" w:rsidRDefault="006A14FB" w:rsidP="006A14FB">
      <w:pPr>
        <w:pStyle w:val="Testonotaapidipagina"/>
        <w:rPr>
          <w:rFonts w:ascii="Aptos" w:hAnsi="Aptos" w:cs="Aptos"/>
          <w:sz w:val="16"/>
          <w:szCs w:val="16"/>
        </w:rPr>
      </w:pPr>
      <w:r w:rsidRPr="00A53D44">
        <w:rPr>
          <w:rStyle w:val="Rimandonotaapidipagina"/>
          <w:b/>
        </w:rPr>
        <w:footnoteRef/>
      </w:r>
      <w:r>
        <w:t xml:space="preserve"> </w:t>
      </w:r>
      <w:r w:rsidRPr="006A14FB">
        <w:rPr>
          <w:rFonts w:ascii="Aptos" w:hAnsi="Aptos" w:cs="Aptos"/>
          <w:sz w:val="16"/>
          <w:szCs w:val="16"/>
        </w:rPr>
        <w:t xml:space="preserve">Ai sensi e per gli effetti dell'articolo 95, comma 2, del D.lgs. 36/2023 </w:t>
      </w:r>
    </w:p>
    <w:p w14:paraId="2CDB2BB2"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1. si considera violazione l'inottemperanza agli obblighi, relativi al pagamento di imposte e tasse derivanti dalla:</w:t>
      </w:r>
    </w:p>
    <w:p w14:paraId="6F280B5A"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a) notifica di atti impositivi, conseguenti ad attività di controllo degli uffici;</w:t>
      </w:r>
    </w:p>
    <w:p w14:paraId="6E4864AB" w14:textId="77777777" w:rsidR="006A14FB" w:rsidRPr="006A14FB" w:rsidRDefault="006A14FB" w:rsidP="006A14FB">
      <w:pPr>
        <w:pStyle w:val="Testonotaapidipagina"/>
        <w:rPr>
          <w:rFonts w:ascii="Aptos" w:hAnsi="Aptos" w:cs="Aptos"/>
          <w:sz w:val="16"/>
          <w:szCs w:val="16"/>
        </w:rPr>
      </w:pPr>
      <w:r w:rsidRPr="006A14FB">
        <w:rPr>
          <w:rFonts w:ascii="Aptos" w:hAnsi="Aptos" w:cs="Aptos"/>
          <w:sz w:val="16"/>
          <w:szCs w:val="16"/>
        </w:rPr>
        <w:t>b) notifica di atti impositivi, conseguenti ad attività di liquidazione degli uffici;</w:t>
      </w:r>
    </w:p>
    <w:p w14:paraId="6A4AE064"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 xml:space="preserve">c) notifica di cartelle di pagamento concernenti pretese tributarie, oggetto di comunicazioni di irregolarità emesse a seguito di controllo automatizzato o formale della dichiarazione, ai sensi degli </w:t>
      </w:r>
      <w:hyperlink r:id="rId5" w:anchor="/ricerca/fonti_documento?idDatabank=7&amp;idDocMaster=1947935&amp;idUnitaDoc=5977400&amp;nVigUnitaDoc=1&amp;docIdx=1&amp;isCorrelazioniSearch=true&amp;correlatoA=Normativa" w:history="1">
        <w:r w:rsidRPr="006A14FB">
          <w:rPr>
            <w:rFonts w:ascii="Aptos" w:hAnsi="Aptos" w:cs="Aptos"/>
            <w:sz w:val="16"/>
            <w:szCs w:val="16"/>
          </w:rPr>
          <w:t>articoli 36-bis</w:t>
        </w:r>
      </w:hyperlink>
      <w:r w:rsidRPr="006A14FB">
        <w:rPr>
          <w:rFonts w:ascii="Aptos" w:hAnsi="Aptos" w:cs="Aptos"/>
          <w:sz w:val="16"/>
          <w:szCs w:val="16"/>
        </w:rPr>
        <w:t xml:space="preserve"> e </w:t>
      </w:r>
      <w:hyperlink r:id="rId6" w:anchor="/ricerca/fonti_documento?idDatabank=7&amp;idDocMaster=1947935&amp;idUnitaDoc=5977401&amp;nVigUnitaDoc=1&amp;docIdx=1&amp;isCorrelazioniSearch=true&amp;correlatoA=Normativa" w:history="1">
        <w:r w:rsidRPr="006A14FB">
          <w:rPr>
            <w:rFonts w:ascii="Aptos" w:hAnsi="Aptos" w:cs="Aptos"/>
            <w:sz w:val="16"/>
            <w:szCs w:val="16"/>
          </w:rPr>
          <w:t>36-ter del decreto del Presidente della Repubblica 29 settembre 1973, n. 600</w:t>
        </w:r>
      </w:hyperlink>
      <w:r w:rsidRPr="006A14FB">
        <w:rPr>
          <w:rFonts w:ascii="Aptos" w:hAnsi="Aptos" w:cs="Aptos"/>
          <w:sz w:val="16"/>
          <w:szCs w:val="16"/>
        </w:rPr>
        <w:t xml:space="preserve"> e dell'</w:t>
      </w:r>
      <w:hyperlink r:id="rId7" w:anchor="/ricerca/fonti_documento?idDatabank=7&amp;idDocMaster=3949116&amp;idUnitaDoc=20149756&amp;nVigUnitaDoc=1&amp;docIdx=1&amp;isCorrelazioniSearch=true&amp;correlatoA=Normativa" w:history="1">
        <w:r w:rsidRPr="006A14FB">
          <w:rPr>
            <w:rFonts w:ascii="Aptos" w:hAnsi="Aptos" w:cs="Aptos"/>
            <w:sz w:val="16"/>
            <w:szCs w:val="16"/>
          </w:rPr>
          <w:t>articolo 54-bis del decreto del Presidente della Repubblica 26 ottobre 1972, n. 633</w:t>
        </w:r>
      </w:hyperlink>
      <w:r w:rsidRPr="006A14FB">
        <w:rPr>
          <w:rFonts w:ascii="Aptos" w:hAnsi="Aptos" w:cs="Aptos"/>
          <w:sz w:val="16"/>
          <w:szCs w:val="16"/>
        </w:rPr>
        <w:t>.</w:t>
      </w:r>
    </w:p>
    <w:p w14:paraId="558F484C"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2. la violazione si considera grave quando comporta l'inottemperanza a un obbligo di pagamento di imposte o tasse per un importo che, con esclusione di sanzioni e interessi, è pari o superiore al 10 per cento del valore dell'appalto. Per gli appalti suddivisi in lotti, la soglia di gravità è rapportata al valore del lotto o dei lotti per i quali l'operatore economico concorre. In caso di subappalto o di partecipazione in raggruppamenti temporanei o in consorzi, la soglia di gravità riferita al subappaltatore o al partecipante al raggruppamento o al consorzio è rapportata al valore della prestazione assunta dal singolo operatore economico. In ogni caso, l'importo della violazione non deve essere inferiore a 35.000 euro. Costituiscono gravi violazioni in materia contributiva e previdenziale quelle ostative al rilascio del DURC, di cui al decreto del Ministro del lavoro e delle politiche sociali 30 gennaio 2015, ovvero delle certificazioni rilasciate dagli enti previdenziali di riferimento non aderenti al sistema dello sportello unico previdenziale.</w:t>
      </w:r>
    </w:p>
    <w:p w14:paraId="74D581FE" w14:textId="77777777" w:rsidR="006A14FB" w:rsidRPr="006A14FB" w:rsidRDefault="006A14FB" w:rsidP="006A14FB">
      <w:pPr>
        <w:pStyle w:val="Testonotaapidipagina"/>
        <w:jc w:val="both"/>
        <w:rPr>
          <w:rFonts w:ascii="Aptos" w:hAnsi="Aptos" w:cs="Aptos"/>
          <w:sz w:val="16"/>
          <w:szCs w:val="16"/>
        </w:rPr>
      </w:pPr>
      <w:r w:rsidRPr="006A14FB">
        <w:rPr>
          <w:rFonts w:ascii="Aptos" w:hAnsi="Aptos" w:cs="Aptos"/>
          <w:sz w:val="16"/>
          <w:szCs w:val="16"/>
        </w:rPr>
        <w:t>3. La violazione grave si considera non definitivamente accertata, e pertanto valutabile dalla stazione appaltante per l'esclusione dalla partecipazione alle procedure di affidamento di contratti pubblici, quando siano decorsi inutilmente i termini per adempiere all'obbligo di pagamento e l'atto impositivo o la cartella di pagamento siano stati tempestivamente impugnati.</w:t>
      </w:r>
    </w:p>
    <w:p w14:paraId="3DE8ED2D" w14:textId="77777777" w:rsidR="006A14FB" w:rsidRDefault="006A14FB" w:rsidP="006A14FB">
      <w:pPr>
        <w:pStyle w:val="Testonotaapidipagina"/>
        <w:jc w:val="both"/>
      </w:pPr>
      <w:r w:rsidRPr="006A14FB">
        <w:rPr>
          <w:rFonts w:ascii="Aptos" w:hAnsi="Aptos" w:cs="Aptos"/>
          <w:sz w:val="16"/>
          <w:szCs w:val="16"/>
        </w:rPr>
        <w:t>4. Le violazioni in argomento non rilevano ai fini dell'esclusione dell'operatore economico dalla partecipazione alla procedura d'appalto se in relazione alle stesse è intervenuta una pronuncia giurisdizionale favorevole all'operatore economico non passata in giudicato, sino all'eventuale riforma della stessa o sino a che la violazione risulti definitivamente accertata, ovvero se sono stati adottati provvedimenti di sospensione giurisdizionale o amministrativa.</w:t>
      </w:r>
    </w:p>
  </w:footnote>
  <w:footnote w:id="5">
    <w:p w14:paraId="2BDFB396" w14:textId="77777777" w:rsidR="006A14FB" w:rsidRPr="006A14FB" w:rsidRDefault="006A14FB" w:rsidP="006A14FB">
      <w:pPr>
        <w:pStyle w:val="Testonotaapidipagina"/>
        <w:jc w:val="both"/>
        <w:rPr>
          <w:rFonts w:ascii="Aptos" w:hAnsi="Aptos" w:cs="Aptos"/>
          <w:sz w:val="16"/>
          <w:szCs w:val="16"/>
        </w:rPr>
      </w:pPr>
      <w:r w:rsidRPr="00A53D44">
        <w:rPr>
          <w:rStyle w:val="Rimandonotaapidipagina"/>
          <w:b/>
        </w:rPr>
        <w:footnoteRef/>
      </w:r>
      <w:r>
        <w:t xml:space="preserve"> </w:t>
      </w:r>
      <w:r w:rsidRPr="006A14FB">
        <w:rPr>
          <w:rFonts w:ascii="Aptos" w:hAnsi="Aptos" w:cs="Aptos"/>
          <w:sz w:val="16"/>
          <w:szCs w:val="16"/>
        </w:rPr>
        <w:t>L’esclusione non viene disposta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81093" w14:textId="77777777" w:rsidR="00915900" w:rsidRPr="00592A32" w:rsidRDefault="00915900" w:rsidP="00915900">
    <w:pPr>
      <w:rPr>
        <w:rFonts w:cs="Calibri"/>
      </w:rPr>
    </w:pPr>
    <w:r w:rsidRPr="00592A32">
      <w:rPr>
        <w:rFonts w:cs="Calibri"/>
      </w:rPr>
      <w:t>[CARTA INTESTATA SOGGETTO PROPONENTE]</w:t>
    </w:r>
  </w:p>
  <w:p w14:paraId="6E60C086" w14:textId="77777777" w:rsidR="00915900" w:rsidRDefault="00915900">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A23E7"/>
    <w:multiLevelType w:val="hybridMultilevel"/>
    <w:tmpl w:val="00B43E82"/>
    <w:lvl w:ilvl="0" w:tplc="59E656D2">
      <w:start w:val="1"/>
      <w:numFmt w:val="decimal"/>
      <w:lvlText w:val="%1."/>
      <w:lvlJc w:val="left"/>
      <w:pPr>
        <w:ind w:left="7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1" w:tplc="38D4A918">
      <w:start w:val="1"/>
      <w:numFmt w:val="bullet"/>
      <w:lvlText w:val="•"/>
      <w:lvlJc w:val="left"/>
      <w:pPr>
        <w:ind w:left="108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83A4C94C">
      <w:start w:val="1"/>
      <w:numFmt w:val="bullet"/>
      <w:lvlText w:val="▪"/>
      <w:lvlJc w:val="left"/>
      <w:pPr>
        <w:ind w:left="180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EC9800DC">
      <w:start w:val="1"/>
      <w:numFmt w:val="bullet"/>
      <w:lvlText w:val="•"/>
      <w:lvlJc w:val="left"/>
      <w:pPr>
        <w:ind w:left="252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58B0F4CC">
      <w:start w:val="1"/>
      <w:numFmt w:val="bullet"/>
      <w:lvlText w:val="o"/>
      <w:lvlJc w:val="left"/>
      <w:pPr>
        <w:ind w:left="324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C3BA29DE">
      <w:start w:val="1"/>
      <w:numFmt w:val="bullet"/>
      <w:lvlText w:val="▪"/>
      <w:lvlJc w:val="left"/>
      <w:pPr>
        <w:ind w:left="396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6F102C0E">
      <w:start w:val="1"/>
      <w:numFmt w:val="bullet"/>
      <w:lvlText w:val="•"/>
      <w:lvlJc w:val="left"/>
      <w:pPr>
        <w:ind w:left="468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A44C780A">
      <w:start w:val="1"/>
      <w:numFmt w:val="bullet"/>
      <w:lvlText w:val="o"/>
      <w:lvlJc w:val="left"/>
      <w:pPr>
        <w:ind w:left="540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8FF4F390">
      <w:start w:val="1"/>
      <w:numFmt w:val="bullet"/>
      <w:lvlText w:val="▪"/>
      <w:lvlJc w:val="left"/>
      <w:pPr>
        <w:ind w:left="6120"/>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1" w15:restartNumberingAfterBreak="0">
    <w:nsid w:val="18D83A04"/>
    <w:multiLevelType w:val="hybridMultilevel"/>
    <w:tmpl w:val="169E2C32"/>
    <w:lvl w:ilvl="0" w:tplc="5A74AE94">
      <w:start w:val="3"/>
      <w:numFmt w:val="bullet"/>
      <w:lvlText w:val="-"/>
      <w:lvlJc w:val="left"/>
      <w:pPr>
        <w:ind w:left="1080" w:hanging="360"/>
      </w:pPr>
      <w:rPr>
        <w:rFonts w:ascii="Arial" w:eastAsia="Times New Roman" w:hAnsi="Arial" w:cs="Arial" w:hint="default"/>
        <w:color w:val="00000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B430CB1"/>
    <w:multiLevelType w:val="hybridMultilevel"/>
    <w:tmpl w:val="C0400BCC"/>
    <w:lvl w:ilvl="0" w:tplc="F2040A26">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6C3FDD"/>
    <w:multiLevelType w:val="hybridMultilevel"/>
    <w:tmpl w:val="61DE0ADA"/>
    <w:lvl w:ilvl="0" w:tplc="C25E1970">
      <w:start w:val="8"/>
      <w:numFmt w:val="bullet"/>
      <w:lvlText w:val=""/>
      <w:lvlJc w:val="left"/>
      <w:pPr>
        <w:ind w:left="927" w:hanging="360"/>
      </w:pPr>
      <w:rPr>
        <w:rFonts w:ascii="Wingdings" w:eastAsia="Times New Roman"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15:restartNumberingAfterBreak="0">
    <w:nsid w:val="30FD1D75"/>
    <w:multiLevelType w:val="hybridMultilevel"/>
    <w:tmpl w:val="54861040"/>
    <w:lvl w:ilvl="0" w:tplc="62469F3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2A0BF3"/>
    <w:multiLevelType w:val="hybridMultilevel"/>
    <w:tmpl w:val="1534F458"/>
    <w:lvl w:ilvl="0" w:tplc="62469F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FB2FBD"/>
    <w:multiLevelType w:val="hybridMultilevel"/>
    <w:tmpl w:val="246C90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F6B5064"/>
    <w:multiLevelType w:val="hybridMultilevel"/>
    <w:tmpl w:val="B330ACDA"/>
    <w:lvl w:ilvl="0" w:tplc="62469F3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7BD00CE"/>
    <w:multiLevelType w:val="hybridMultilevel"/>
    <w:tmpl w:val="10FABD5A"/>
    <w:lvl w:ilvl="0" w:tplc="D03E5DB6">
      <w:start w:val="1"/>
      <w:numFmt w:val="lowerLetter"/>
      <w:lvlText w:val="%1)"/>
      <w:lvlJc w:val="left"/>
      <w:pPr>
        <w:ind w:left="14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0E88CE">
      <w:start w:val="1"/>
      <w:numFmt w:val="lowerLetter"/>
      <w:lvlText w:val="%2"/>
      <w:lvlJc w:val="left"/>
      <w:pPr>
        <w:ind w:left="21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94A9D2">
      <w:start w:val="1"/>
      <w:numFmt w:val="lowerRoman"/>
      <w:lvlText w:val="%3"/>
      <w:lvlJc w:val="left"/>
      <w:pPr>
        <w:ind w:left="28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E4E850">
      <w:start w:val="1"/>
      <w:numFmt w:val="decimal"/>
      <w:lvlText w:val="%4"/>
      <w:lvlJc w:val="left"/>
      <w:pPr>
        <w:ind w:left="36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D29EEC">
      <w:start w:val="1"/>
      <w:numFmt w:val="lowerLetter"/>
      <w:lvlText w:val="%5"/>
      <w:lvlJc w:val="left"/>
      <w:pPr>
        <w:ind w:left="43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14450C6">
      <w:start w:val="1"/>
      <w:numFmt w:val="lowerRoman"/>
      <w:lvlText w:val="%6"/>
      <w:lvlJc w:val="left"/>
      <w:pPr>
        <w:ind w:left="50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3B65046">
      <w:start w:val="1"/>
      <w:numFmt w:val="decimal"/>
      <w:lvlText w:val="%7"/>
      <w:lvlJc w:val="left"/>
      <w:pPr>
        <w:ind w:left="57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66AE6E">
      <w:start w:val="1"/>
      <w:numFmt w:val="lowerLetter"/>
      <w:lvlText w:val="%8"/>
      <w:lvlJc w:val="left"/>
      <w:pPr>
        <w:ind w:left="64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F50454C">
      <w:start w:val="1"/>
      <w:numFmt w:val="lowerRoman"/>
      <w:lvlText w:val="%9"/>
      <w:lvlJc w:val="left"/>
      <w:pPr>
        <w:ind w:left="72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8B94020"/>
    <w:multiLevelType w:val="hybridMultilevel"/>
    <w:tmpl w:val="9C481EE8"/>
    <w:lvl w:ilvl="0" w:tplc="0EBE08E0">
      <w:start w:val="1"/>
      <w:numFmt w:val="decimal"/>
      <w:lvlText w:val="%1."/>
      <w:lvlJc w:val="left"/>
      <w:pPr>
        <w:ind w:left="360" w:hanging="360"/>
      </w:pPr>
      <w:rPr>
        <w:rFonts w:hint="default"/>
        <w:b w:val="0"/>
        <w:i w:val="0"/>
        <w:color w:val="auto"/>
      </w:rPr>
    </w:lvl>
    <w:lvl w:ilvl="1" w:tplc="FE34DD66">
      <w:start w:val="1"/>
      <w:numFmt w:val="lowerLetter"/>
      <w:lvlText w:val="%2)"/>
      <w:lvlJc w:val="left"/>
      <w:pPr>
        <w:ind w:left="1080" w:hanging="360"/>
      </w:pPr>
      <w:rPr>
        <w:rFonts w:ascii="Calibri" w:eastAsia="Times New Roman" w:hAnsi="Calibri" w:cs="Calibri"/>
        <w:sz w:val="16"/>
      </w:rPr>
    </w:lvl>
    <w:lvl w:ilvl="2" w:tplc="278475DE">
      <w:numFmt w:val="bullet"/>
      <w:lvlText w:val="-"/>
      <w:lvlJc w:val="left"/>
      <w:pPr>
        <w:ind w:left="1980" w:hanging="360"/>
      </w:pPr>
      <w:rPr>
        <w:rFonts w:ascii="Calibri" w:eastAsia="Times New Roman" w:hAnsi="Calibri" w:cs="Calibri"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69FE0ECB"/>
    <w:multiLevelType w:val="hybridMultilevel"/>
    <w:tmpl w:val="56F45F70"/>
    <w:lvl w:ilvl="0" w:tplc="E12AB95C">
      <w:start w:val="1"/>
      <w:numFmt w:val="lowerLetter"/>
      <w:lvlText w:val="%1)"/>
      <w:lvlJc w:val="left"/>
      <w:pPr>
        <w:tabs>
          <w:tab w:val="num" w:pos="644"/>
        </w:tabs>
        <w:ind w:left="644" w:hanging="360"/>
      </w:pPr>
      <w:rPr>
        <w:rFonts w:hint="default"/>
        <w:b w:val="0"/>
        <w:i w:val="0"/>
      </w:rPr>
    </w:lvl>
    <w:lvl w:ilvl="1" w:tplc="04100019">
      <w:start w:val="1"/>
      <w:numFmt w:val="lowerLetter"/>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6FA020A6"/>
    <w:multiLevelType w:val="hybridMultilevel"/>
    <w:tmpl w:val="91AAA7E4"/>
    <w:lvl w:ilvl="0" w:tplc="62469F3A">
      <w:start w:val="1"/>
      <w:numFmt w:val="bullet"/>
      <w:lvlText w:val=""/>
      <w:lvlJc w:val="left"/>
      <w:pPr>
        <w:ind w:left="1211" w:hanging="360"/>
      </w:pPr>
      <w:rPr>
        <w:rFonts w:ascii="Symbol" w:hAnsi="Symbol"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2" w15:restartNumberingAfterBreak="0">
    <w:nsid w:val="7CF51565"/>
    <w:multiLevelType w:val="hybridMultilevel"/>
    <w:tmpl w:val="EDD0EBDC"/>
    <w:lvl w:ilvl="0" w:tplc="62469F3A">
      <w:start w:val="1"/>
      <w:numFmt w:val="bullet"/>
      <w:lvlText w:val=""/>
      <w:lvlJc w:val="left"/>
      <w:pPr>
        <w:ind w:left="1090" w:hanging="360"/>
      </w:pPr>
      <w:rPr>
        <w:rFonts w:ascii="Symbol" w:hAnsi="Symbol" w:hint="default"/>
      </w:rPr>
    </w:lvl>
    <w:lvl w:ilvl="1" w:tplc="04100003" w:tentative="1">
      <w:start w:val="1"/>
      <w:numFmt w:val="bullet"/>
      <w:lvlText w:val="o"/>
      <w:lvlJc w:val="left"/>
      <w:pPr>
        <w:ind w:left="1810" w:hanging="360"/>
      </w:pPr>
      <w:rPr>
        <w:rFonts w:ascii="Courier New" w:hAnsi="Courier New" w:cs="Courier New" w:hint="default"/>
      </w:rPr>
    </w:lvl>
    <w:lvl w:ilvl="2" w:tplc="04100005" w:tentative="1">
      <w:start w:val="1"/>
      <w:numFmt w:val="bullet"/>
      <w:lvlText w:val=""/>
      <w:lvlJc w:val="left"/>
      <w:pPr>
        <w:ind w:left="2530" w:hanging="360"/>
      </w:pPr>
      <w:rPr>
        <w:rFonts w:ascii="Wingdings" w:hAnsi="Wingdings" w:hint="default"/>
      </w:rPr>
    </w:lvl>
    <w:lvl w:ilvl="3" w:tplc="04100001" w:tentative="1">
      <w:start w:val="1"/>
      <w:numFmt w:val="bullet"/>
      <w:lvlText w:val=""/>
      <w:lvlJc w:val="left"/>
      <w:pPr>
        <w:ind w:left="3250" w:hanging="360"/>
      </w:pPr>
      <w:rPr>
        <w:rFonts w:ascii="Symbol" w:hAnsi="Symbol" w:hint="default"/>
      </w:rPr>
    </w:lvl>
    <w:lvl w:ilvl="4" w:tplc="04100003" w:tentative="1">
      <w:start w:val="1"/>
      <w:numFmt w:val="bullet"/>
      <w:lvlText w:val="o"/>
      <w:lvlJc w:val="left"/>
      <w:pPr>
        <w:ind w:left="3970" w:hanging="360"/>
      </w:pPr>
      <w:rPr>
        <w:rFonts w:ascii="Courier New" w:hAnsi="Courier New" w:cs="Courier New" w:hint="default"/>
      </w:rPr>
    </w:lvl>
    <w:lvl w:ilvl="5" w:tplc="04100005" w:tentative="1">
      <w:start w:val="1"/>
      <w:numFmt w:val="bullet"/>
      <w:lvlText w:val=""/>
      <w:lvlJc w:val="left"/>
      <w:pPr>
        <w:ind w:left="4690" w:hanging="360"/>
      </w:pPr>
      <w:rPr>
        <w:rFonts w:ascii="Wingdings" w:hAnsi="Wingdings" w:hint="default"/>
      </w:rPr>
    </w:lvl>
    <w:lvl w:ilvl="6" w:tplc="04100001" w:tentative="1">
      <w:start w:val="1"/>
      <w:numFmt w:val="bullet"/>
      <w:lvlText w:val=""/>
      <w:lvlJc w:val="left"/>
      <w:pPr>
        <w:ind w:left="5410" w:hanging="360"/>
      </w:pPr>
      <w:rPr>
        <w:rFonts w:ascii="Symbol" w:hAnsi="Symbol" w:hint="default"/>
      </w:rPr>
    </w:lvl>
    <w:lvl w:ilvl="7" w:tplc="04100003" w:tentative="1">
      <w:start w:val="1"/>
      <w:numFmt w:val="bullet"/>
      <w:lvlText w:val="o"/>
      <w:lvlJc w:val="left"/>
      <w:pPr>
        <w:ind w:left="6130" w:hanging="360"/>
      </w:pPr>
      <w:rPr>
        <w:rFonts w:ascii="Courier New" w:hAnsi="Courier New" w:cs="Courier New" w:hint="default"/>
      </w:rPr>
    </w:lvl>
    <w:lvl w:ilvl="8" w:tplc="04100005" w:tentative="1">
      <w:start w:val="1"/>
      <w:numFmt w:val="bullet"/>
      <w:lvlText w:val=""/>
      <w:lvlJc w:val="left"/>
      <w:pPr>
        <w:ind w:left="6850" w:hanging="360"/>
      </w:pPr>
      <w:rPr>
        <w:rFonts w:ascii="Wingdings" w:hAnsi="Wingdings" w:hint="default"/>
      </w:rPr>
    </w:lvl>
  </w:abstractNum>
  <w:num w:numId="1">
    <w:abstractNumId w:val="0"/>
  </w:num>
  <w:num w:numId="2">
    <w:abstractNumId w:val="8"/>
  </w:num>
  <w:num w:numId="3">
    <w:abstractNumId w:val="1"/>
  </w:num>
  <w:num w:numId="4">
    <w:abstractNumId w:val="7"/>
  </w:num>
  <w:num w:numId="5">
    <w:abstractNumId w:val="5"/>
  </w:num>
  <w:num w:numId="6">
    <w:abstractNumId w:val="4"/>
  </w:num>
  <w:num w:numId="7">
    <w:abstractNumId w:val="11"/>
  </w:num>
  <w:num w:numId="8">
    <w:abstractNumId w:val="12"/>
  </w:num>
  <w:num w:numId="9">
    <w:abstractNumId w:val="6"/>
  </w:num>
  <w:num w:numId="10">
    <w:abstractNumId w:val="10"/>
  </w:num>
  <w:num w:numId="11">
    <w:abstractNumId w:val="9"/>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ABE"/>
    <w:rsid w:val="0005617F"/>
    <w:rsid w:val="000A6A94"/>
    <w:rsid w:val="000A7BF5"/>
    <w:rsid w:val="000A7CE4"/>
    <w:rsid w:val="000C4071"/>
    <w:rsid w:val="000E2CFC"/>
    <w:rsid w:val="000F6724"/>
    <w:rsid w:val="00151AE1"/>
    <w:rsid w:val="0016076E"/>
    <w:rsid w:val="00166708"/>
    <w:rsid w:val="00176328"/>
    <w:rsid w:val="00195156"/>
    <w:rsid w:val="001B18C8"/>
    <w:rsid w:val="001F59E4"/>
    <w:rsid w:val="00202922"/>
    <w:rsid w:val="00220621"/>
    <w:rsid w:val="002F16D4"/>
    <w:rsid w:val="0034287A"/>
    <w:rsid w:val="003642AC"/>
    <w:rsid w:val="003F77C1"/>
    <w:rsid w:val="0040657F"/>
    <w:rsid w:val="004959EE"/>
    <w:rsid w:val="004B7390"/>
    <w:rsid w:val="004C1ACA"/>
    <w:rsid w:val="004D12EC"/>
    <w:rsid w:val="004E198D"/>
    <w:rsid w:val="0050154E"/>
    <w:rsid w:val="00592A32"/>
    <w:rsid w:val="005B3BAD"/>
    <w:rsid w:val="005D44B9"/>
    <w:rsid w:val="005F1C6F"/>
    <w:rsid w:val="0064181A"/>
    <w:rsid w:val="00685181"/>
    <w:rsid w:val="006A14FB"/>
    <w:rsid w:val="006C1301"/>
    <w:rsid w:val="006D3C3E"/>
    <w:rsid w:val="006E2B97"/>
    <w:rsid w:val="00743E3D"/>
    <w:rsid w:val="0074428E"/>
    <w:rsid w:val="00780E93"/>
    <w:rsid w:val="00792481"/>
    <w:rsid w:val="00821ABE"/>
    <w:rsid w:val="008408EF"/>
    <w:rsid w:val="008563A5"/>
    <w:rsid w:val="00861B55"/>
    <w:rsid w:val="008A0FB9"/>
    <w:rsid w:val="008F54EE"/>
    <w:rsid w:val="00906FB7"/>
    <w:rsid w:val="00915900"/>
    <w:rsid w:val="00920C76"/>
    <w:rsid w:val="009351E5"/>
    <w:rsid w:val="00935297"/>
    <w:rsid w:val="00957387"/>
    <w:rsid w:val="009A6F12"/>
    <w:rsid w:val="00A20AA1"/>
    <w:rsid w:val="00A227BB"/>
    <w:rsid w:val="00A47BA0"/>
    <w:rsid w:val="00A519F9"/>
    <w:rsid w:val="00A57698"/>
    <w:rsid w:val="00A7481A"/>
    <w:rsid w:val="00A932F8"/>
    <w:rsid w:val="00AA764C"/>
    <w:rsid w:val="00AB0FA9"/>
    <w:rsid w:val="00AD1856"/>
    <w:rsid w:val="00AE2D0E"/>
    <w:rsid w:val="00AE34B6"/>
    <w:rsid w:val="00B65A34"/>
    <w:rsid w:val="00BA5C9F"/>
    <w:rsid w:val="00BE5F35"/>
    <w:rsid w:val="00C24311"/>
    <w:rsid w:val="00C5150A"/>
    <w:rsid w:val="00C83B0C"/>
    <w:rsid w:val="00C84071"/>
    <w:rsid w:val="00CC7880"/>
    <w:rsid w:val="00CD7079"/>
    <w:rsid w:val="00CE7BBF"/>
    <w:rsid w:val="00D13066"/>
    <w:rsid w:val="00D27FB4"/>
    <w:rsid w:val="00D30692"/>
    <w:rsid w:val="00D50A5D"/>
    <w:rsid w:val="00D52FBE"/>
    <w:rsid w:val="00D626CD"/>
    <w:rsid w:val="00D733D3"/>
    <w:rsid w:val="00DE3D18"/>
    <w:rsid w:val="00EA25D2"/>
    <w:rsid w:val="00EF3912"/>
    <w:rsid w:val="00EF76AB"/>
    <w:rsid w:val="00F10CB7"/>
    <w:rsid w:val="00F21D78"/>
    <w:rsid w:val="00F87D7E"/>
    <w:rsid w:val="00FB53EA"/>
    <w:rsid w:val="00FE4ACC"/>
    <w:rsid w:val="00FF3D8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3807"/>
  <w15:docId w15:val="{6E1E33BA-11A3-47AB-9DD5-0AC9938A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0E93"/>
    <w:pPr>
      <w:spacing w:after="200" w:line="276" w:lineRule="auto"/>
    </w:pPr>
    <w:rPr>
      <w:sz w:val="22"/>
      <w:szCs w:val="22"/>
      <w:lang w:eastAsia="en-US"/>
    </w:rPr>
  </w:style>
  <w:style w:type="paragraph" w:styleId="Titolo1">
    <w:name w:val="heading 1"/>
    <w:next w:val="Normale"/>
    <w:link w:val="Titolo1Carattere"/>
    <w:uiPriority w:val="9"/>
    <w:unhideWhenUsed/>
    <w:qFormat/>
    <w:rsid w:val="006D3C3E"/>
    <w:pPr>
      <w:keepNext/>
      <w:keepLines/>
      <w:spacing w:after="163" w:line="261" w:lineRule="auto"/>
      <w:ind w:left="10" w:right="2" w:hanging="10"/>
      <w:jc w:val="center"/>
      <w:outlineLvl w:val="0"/>
    </w:pPr>
    <w:rPr>
      <w:rFonts w:ascii="Times New Roman" w:eastAsia="Times New Roman" w:hAnsi="Times New Roman"/>
      <w:color w:val="00000A"/>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821ABE"/>
    <w:rPr>
      <w:rFonts w:cs="Times New Roman"/>
      <w:color w:val="0000FF"/>
      <w:u w:val="single"/>
    </w:rPr>
  </w:style>
  <w:style w:type="paragraph" w:styleId="Corpotesto">
    <w:name w:val="Body Text"/>
    <w:basedOn w:val="Normale"/>
    <w:link w:val="CorpotestoCarattere"/>
    <w:rsid w:val="00821ABE"/>
    <w:pPr>
      <w:widowControl w:val="0"/>
      <w:suppressAutoHyphens/>
      <w:spacing w:after="0" w:line="240" w:lineRule="auto"/>
      <w:jc w:val="both"/>
    </w:pPr>
    <w:rPr>
      <w:rFonts w:ascii="Times New Roman" w:eastAsia="Times New Roman" w:hAnsi="Times New Roman"/>
      <w:sz w:val="24"/>
      <w:szCs w:val="20"/>
      <w:lang w:eastAsia="ar-SA"/>
    </w:rPr>
  </w:style>
  <w:style w:type="character" w:customStyle="1" w:styleId="CorpotestoCarattere">
    <w:name w:val="Corpo testo Carattere"/>
    <w:link w:val="Corpotesto"/>
    <w:rsid w:val="00821ABE"/>
    <w:rPr>
      <w:rFonts w:ascii="Times New Roman" w:eastAsia="Times New Roman" w:hAnsi="Times New Roman"/>
      <w:sz w:val="24"/>
      <w:lang w:eastAsia="ar-SA"/>
    </w:rPr>
  </w:style>
  <w:style w:type="paragraph" w:styleId="Nessunaspaziatura">
    <w:name w:val="No Spacing"/>
    <w:aliases w:val="A"/>
    <w:uiPriority w:val="1"/>
    <w:qFormat/>
    <w:rsid w:val="00F21D78"/>
    <w:rPr>
      <w:sz w:val="22"/>
      <w:szCs w:val="22"/>
      <w:lang w:eastAsia="en-US"/>
    </w:rPr>
  </w:style>
  <w:style w:type="paragraph" w:styleId="Intestazione">
    <w:name w:val="header"/>
    <w:basedOn w:val="Normale"/>
    <w:link w:val="IntestazioneCarattere"/>
    <w:uiPriority w:val="99"/>
    <w:unhideWhenUsed/>
    <w:rsid w:val="00915900"/>
    <w:pPr>
      <w:tabs>
        <w:tab w:val="center" w:pos="4819"/>
        <w:tab w:val="right" w:pos="9638"/>
      </w:tabs>
    </w:pPr>
  </w:style>
  <w:style w:type="character" w:customStyle="1" w:styleId="IntestazioneCarattere">
    <w:name w:val="Intestazione Carattere"/>
    <w:link w:val="Intestazione"/>
    <w:uiPriority w:val="99"/>
    <w:rsid w:val="00915900"/>
    <w:rPr>
      <w:sz w:val="22"/>
      <w:szCs w:val="22"/>
      <w:lang w:eastAsia="en-US"/>
    </w:rPr>
  </w:style>
  <w:style w:type="paragraph" w:styleId="Pidipagina">
    <w:name w:val="footer"/>
    <w:basedOn w:val="Normale"/>
    <w:link w:val="PidipaginaCarattere"/>
    <w:uiPriority w:val="99"/>
    <w:unhideWhenUsed/>
    <w:rsid w:val="00915900"/>
    <w:pPr>
      <w:tabs>
        <w:tab w:val="center" w:pos="4819"/>
        <w:tab w:val="right" w:pos="9638"/>
      </w:tabs>
    </w:pPr>
  </w:style>
  <w:style w:type="character" w:customStyle="1" w:styleId="PidipaginaCarattere">
    <w:name w:val="Piè di pagina Carattere"/>
    <w:link w:val="Pidipagina"/>
    <w:uiPriority w:val="99"/>
    <w:rsid w:val="00915900"/>
    <w:rPr>
      <w:sz w:val="22"/>
      <w:szCs w:val="22"/>
      <w:lang w:eastAsia="en-US"/>
    </w:rPr>
  </w:style>
  <w:style w:type="character" w:customStyle="1" w:styleId="Titolo1Carattere">
    <w:name w:val="Titolo 1 Carattere"/>
    <w:link w:val="Titolo1"/>
    <w:uiPriority w:val="9"/>
    <w:rsid w:val="006D3C3E"/>
    <w:rPr>
      <w:rFonts w:ascii="Times New Roman" w:eastAsia="Times New Roman" w:hAnsi="Times New Roman"/>
      <w:color w:val="00000A"/>
      <w:szCs w:val="22"/>
    </w:rPr>
  </w:style>
  <w:style w:type="table" w:customStyle="1" w:styleId="TableGrid">
    <w:name w:val="TableGrid"/>
    <w:rsid w:val="006D3C3E"/>
    <w:rPr>
      <w:rFonts w:eastAsia="Times New Roman"/>
      <w:sz w:val="22"/>
      <w:szCs w:val="22"/>
    </w:rPr>
    <w:tblPr>
      <w:tblCellMar>
        <w:top w:w="0" w:type="dxa"/>
        <w:left w:w="0" w:type="dxa"/>
        <w:bottom w:w="0" w:type="dxa"/>
        <w:right w:w="0" w:type="dxa"/>
      </w:tblCellMar>
    </w:tblPr>
  </w:style>
  <w:style w:type="paragraph" w:styleId="Paragrafoelenco">
    <w:name w:val="List Paragraph"/>
    <w:basedOn w:val="Normale"/>
    <w:uiPriority w:val="34"/>
    <w:qFormat/>
    <w:rsid w:val="006D3C3E"/>
    <w:pPr>
      <w:spacing w:after="160" w:line="259" w:lineRule="auto"/>
      <w:ind w:left="720"/>
      <w:contextualSpacing/>
    </w:pPr>
    <w:rPr>
      <w:rFonts w:cs="Calibri"/>
      <w:color w:val="000000"/>
      <w:lang w:eastAsia="it-IT"/>
    </w:rPr>
  </w:style>
  <w:style w:type="paragraph" w:styleId="Testofumetto">
    <w:name w:val="Balloon Text"/>
    <w:basedOn w:val="Normale"/>
    <w:link w:val="TestofumettoCarattere"/>
    <w:uiPriority w:val="99"/>
    <w:semiHidden/>
    <w:unhideWhenUsed/>
    <w:rsid w:val="006D3C3E"/>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6D3C3E"/>
    <w:rPr>
      <w:rFonts w:ascii="Segoe UI" w:hAnsi="Segoe UI" w:cs="Segoe UI"/>
      <w:sz w:val="18"/>
      <w:szCs w:val="18"/>
      <w:lang w:eastAsia="en-US"/>
    </w:rPr>
  </w:style>
  <w:style w:type="paragraph" w:styleId="Testonotaapidipagina">
    <w:name w:val="footnote text"/>
    <w:basedOn w:val="Normale"/>
    <w:link w:val="TestonotaapidipaginaCarattere"/>
    <w:rsid w:val="008408EF"/>
    <w:pPr>
      <w:spacing w:after="0" w:line="240" w:lineRule="auto"/>
    </w:pPr>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rsid w:val="008408EF"/>
    <w:rPr>
      <w:rFonts w:ascii="Times New Roman" w:eastAsia="Times New Roman" w:hAnsi="Times New Roman"/>
    </w:rPr>
  </w:style>
  <w:style w:type="character" w:styleId="Rimandonotaapidipagina">
    <w:name w:val="footnote reference"/>
    <w:rsid w:val="008408EF"/>
    <w:rPr>
      <w:vertAlign w:val="superscript"/>
    </w:rPr>
  </w:style>
  <w:style w:type="table" w:styleId="Grigliatabella">
    <w:name w:val="Table Grid"/>
    <w:basedOn w:val="Tabellanormale"/>
    <w:rsid w:val="008408E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563A5"/>
    <w:rPr>
      <w:color w:val="605E5C"/>
      <w:shd w:val="clear" w:color="auto" w:fill="E1DFDD"/>
    </w:rPr>
  </w:style>
  <w:style w:type="paragraph" w:styleId="NormaleWeb">
    <w:name w:val="Normal (Web)"/>
    <w:basedOn w:val="Normale"/>
    <w:uiPriority w:val="99"/>
    <w:unhideWhenUsed/>
    <w:rsid w:val="006A14F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Stile">
    <w:name w:val="Stile"/>
    <w:rsid w:val="006A14FB"/>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259720">
      <w:bodyDiv w:val="1"/>
      <w:marLeft w:val="0"/>
      <w:marRight w:val="0"/>
      <w:marTop w:val="0"/>
      <w:marBottom w:val="0"/>
      <w:divBdr>
        <w:top w:val="none" w:sz="0" w:space="0" w:color="auto"/>
        <w:left w:val="none" w:sz="0" w:space="0" w:color="auto"/>
        <w:bottom w:val="none" w:sz="0" w:space="0" w:color="auto"/>
        <w:right w:val="none" w:sz="0" w:space="0" w:color="auto"/>
      </w:divBdr>
    </w:div>
    <w:div w:id="641351567">
      <w:bodyDiv w:val="1"/>
      <w:marLeft w:val="0"/>
      <w:marRight w:val="0"/>
      <w:marTop w:val="0"/>
      <w:marBottom w:val="0"/>
      <w:divBdr>
        <w:top w:val="none" w:sz="0" w:space="0" w:color="auto"/>
        <w:left w:val="none" w:sz="0" w:space="0" w:color="auto"/>
        <w:bottom w:val="none" w:sz="0" w:space="0" w:color="auto"/>
        <w:right w:val="none" w:sz="0" w:space="0" w:color="auto"/>
      </w:divBdr>
    </w:div>
    <w:div w:id="79340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hyperlink" Target="https://www.bosettiegatti.eu/info/norme/statali/2019_0014_crisi_impres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codicepenale.htm"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2023_003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hyperlink" Target="https://www.bosettiegatti.eu/info/norme/comunitarie/2014_0024_allegati.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bosettiegatti.eu/info/norme/statali/2023_0036.htm" TargetMode="External"/><Relationship Id="rId7" Type="http://schemas.openxmlformats.org/officeDocument/2006/relationships/hyperlink" Target="https://dejure.it/" TargetMode="External"/><Relationship Id="rId2" Type="http://schemas.openxmlformats.org/officeDocument/2006/relationships/hyperlink" Target="https://www.bosettiegatti.eu/info/norme/statali/2023_0036.htm" TargetMode="External"/><Relationship Id="rId1" Type="http://schemas.openxmlformats.org/officeDocument/2006/relationships/hyperlink" Target="https://dejure.it/" TargetMode="External"/><Relationship Id="rId6" Type="http://schemas.openxmlformats.org/officeDocument/2006/relationships/hyperlink" Target="https://dejure.it/" TargetMode="External"/><Relationship Id="rId5" Type="http://schemas.openxmlformats.org/officeDocument/2006/relationships/hyperlink" Target="https://dejure.it/" TargetMode="External"/><Relationship Id="rId4" Type="http://schemas.openxmlformats.org/officeDocument/2006/relationships/hyperlink" Target="https://www.bosettiegatti.eu/info/norme/statali/2023_003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1343C-7B26-432A-BB28-43C3BEB9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2524</Words>
  <Characters>14390</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16881</CharactersWithSpaces>
  <SharedDoc>false</SharedDoc>
  <HLinks>
    <vt:vector size="6" baseType="variant">
      <vt:variant>
        <vt:i4>4128833</vt:i4>
      </vt:variant>
      <vt:variant>
        <vt:i4>0</vt:i4>
      </vt:variant>
      <vt:variant>
        <vt:i4>0</vt:i4>
      </vt:variant>
      <vt:variant>
        <vt:i4>5</vt:i4>
      </vt:variant>
      <vt:variant>
        <vt:lpwstr>mailto:mn-rm@pec.cultura.gov.it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D'Isanto</dc:creator>
  <cp:keywords/>
  <cp:lastModifiedBy>Giacomo Maria Prati</cp:lastModifiedBy>
  <cp:revision>4</cp:revision>
  <cp:lastPrinted>2024-10-10T11:16:00Z</cp:lastPrinted>
  <dcterms:created xsi:type="dcterms:W3CDTF">2026-05-04T20:02:00Z</dcterms:created>
  <dcterms:modified xsi:type="dcterms:W3CDTF">2026-05-07T07:31:00Z</dcterms:modified>
</cp:coreProperties>
</file>